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276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bCs/>
          <w:color w:val="000000"/>
          <w:u w:val="single"/>
        </w:rPr>
        <w:t>TERMO DE REFERÊNCIA – LEI 14.133/21  de 01 de abril de 2021</w:t>
      </w:r>
    </w:p>
    <w:p>
      <w:pPr>
        <w:pStyle w:val="Normal"/>
        <w:spacing w:lineRule="auto" w:line="276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276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276"/>
        <w:jc w:val="center"/>
        <w:rPr>
          <w:rFonts w:ascii="Arial" w:hAnsi="Arial" w:cs="Arial"/>
          <w:b/>
          <w:u w:val="single"/>
        </w:rPr>
      </w:pPr>
      <w:r>
        <w:rPr>
          <w:rFonts w:ascii="Arial" w:hAnsi="Arial"/>
          <w:b/>
          <w:bCs/>
          <w:iCs/>
          <w:color w:val="000000"/>
        </w:rPr>
        <w:t xml:space="preserve"> </w:t>
      </w:r>
      <w:r>
        <w:rPr>
          <w:rFonts w:ascii="Arial" w:hAnsi="Arial"/>
          <w:b/>
          <w:bCs/>
          <w:iCs/>
          <w:color w:val="000000"/>
        </w:rPr>
        <w:t xml:space="preserve">AQUISIÇÃO </w:t>
      </w:r>
      <w:r>
        <w:rPr>
          <w:rFonts w:ascii="Arial" w:hAnsi="Arial"/>
          <w:b/>
          <w:bCs/>
          <w:iCs/>
          <w:color w:val="000000"/>
          <w:u w:val="none"/>
        </w:rPr>
        <w:t xml:space="preserve">DE </w:t>
      </w:r>
      <w:r>
        <w:rPr>
          <w:rFonts w:cs="Arial" w:ascii="Arial" w:hAnsi="Arial"/>
          <w:b/>
          <w:bCs/>
          <w:iCs/>
          <w:color w:val="000000"/>
          <w:u w:val="none"/>
        </w:rPr>
        <w:t>EQUIPAMENTOS/</w:t>
      </w:r>
      <w:r>
        <w:rPr>
          <w:rFonts w:cs="Arial" w:ascii="Arial" w:hAnsi="Arial"/>
          <w:b/>
          <w:bCs/>
          <w:iCs/>
          <w:color w:val="000000"/>
          <w:u w:val="none"/>
        </w:rPr>
        <w:t>MOBILIÁRIOS</w:t>
      </w:r>
      <w:r>
        <w:rPr>
          <w:rFonts w:cs="Arial" w:ascii="Arial" w:hAnsi="Arial"/>
          <w:b/>
          <w:bCs/>
          <w:iCs/>
          <w:color w:val="000000"/>
          <w:u w:val="none"/>
        </w:rPr>
        <w:t xml:space="preserve"> PARA USO NO </w:t>
      </w:r>
      <w:r>
        <w:rPr>
          <w:rFonts w:cs="Arial" w:ascii="Arial" w:hAnsi="Arial"/>
          <w:b/>
          <w:bCs/>
          <w:iCs/>
          <w:color w:val="000000"/>
          <w:u w:val="none"/>
        </w:rPr>
        <w:t>ABRIGO LUZ</w:t>
      </w:r>
    </w:p>
    <w:p>
      <w:pPr>
        <w:pStyle w:val="Normal"/>
        <w:spacing w:lineRule="auto" w:line="276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276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bCs/>
          <w:iCs/>
          <w:color w:val="000000"/>
        </w:rPr>
        <w:t xml:space="preserve">Processo Administrativo nº </w:t>
      </w:r>
      <w:r>
        <w:rPr>
          <w:rFonts w:eastAsia="Times New Roman" w:cs="Times New Roman" w:ascii="Arial" w:hAnsi="Arial"/>
          <w:b/>
          <w:bCs/>
          <w:iCs/>
          <w:color w:val="000000"/>
        </w:rPr>
        <w:t>00</w:t>
      </w:r>
      <w:r>
        <w:rPr>
          <w:rFonts w:eastAsia="Times New Roman" w:cs="Times New Roman" w:ascii="Arial" w:hAnsi="Arial"/>
          <w:b/>
          <w:bCs/>
          <w:iCs/>
          <w:color w:val="000000"/>
        </w:rPr>
        <w:t>1999</w:t>
      </w:r>
      <w:r>
        <w:rPr>
          <w:rFonts w:eastAsia="Times New Roman" w:cs="Times New Roman" w:ascii="Arial" w:hAnsi="Arial"/>
          <w:b/>
          <w:bCs/>
          <w:iCs/>
          <w:color w:val="000000"/>
          <w:kern w:val="0"/>
          <w:sz w:val="24"/>
          <w:szCs w:val="20"/>
          <w:lang w:val="pt-BR" w:eastAsia="pt-BR" w:bidi="ar-SA"/>
        </w:rPr>
        <w:t>/2</w:t>
      </w:r>
      <w:r>
        <w:rPr>
          <w:rFonts w:cs="Arial" w:ascii="Arial" w:hAnsi="Arial"/>
          <w:b/>
          <w:bCs/>
          <w:iCs/>
          <w:color w:val="000000"/>
        </w:rPr>
        <w:t>02</w:t>
      </w:r>
      <w:r>
        <w:rPr>
          <w:rFonts w:cs="Arial" w:ascii="Arial" w:hAnsi="Arial"/>
          <w:b/>
          <w:bCs/>
          <w:iCs/>
          <w:color w:val="000000"/>
        </w:rPr>
        <w:t>5</w:t>
      </w:r>
      <w:r>
        <w:rPr>
          <w:rFonts w:cs="Arial" w:ascii="Arial" w:hAnsi="Arial"/>
          <w:b/>
          <w:bCs/>
          <w:iCs/>
          <w:color w:val="000000"/>
        </w:rPr>
        <w:t xml:space="preserve"> de </w:t>
      </w:r>
      <w:r>
        <w:rPr>
          <w:rFonts w:cs="Arial" w:ascii="Arial" w:hAnsi="Arial"/>
          <w:b/>
          <w:bCs/>
          <w:iCs/>
          <w:color w:val="000000"/>
        </w:rPr>
        <w:t>17</w:t>
      </w:r>
      <w:r>
        <w:rPr>
          <w:rFonts w:cs="Arial" w:ascii="Arial" w:hAnsi="Arial"/>
          <w:b/>
          <w:bCs/>
          <w:iCs/>
          <w:color w:val="000000"/>
        </w:rPr>
        <w:t xml:space="preserve"> de </w:t>
      </w:r>
      <w:r>
        <w:rPr>
          <w:rFonts w:cs="Arial" w:ascii="Arial" w:hAnsi="Arial"/>
          <w:b/>
          <w:bCs/>
          <w:iCs/>
          <w:color w:val="000000"/>
        </w:rPr>
        <w:t>març</w:t>
      </w:r>
      <w:r>
        <w:rPr>
          <w:rFonts w:cs="Arial" w:ascii="Arial" w:hAnsi="Arial"/>
          <w:b/>
          <w:bCs/>
          <w:iCs/>
          <w:color w:val="000000"/>
        </w:rPr>
        <w:t>o de 202</w:t>
      </w:r>
      <w:r>
        <w:rPr>
          <w:rFonts w:cs="Arial" w:ascii="Arial" w:hAnsi="Arial"/>
          <w:b/>
          <w:bCs/>
          <w:iCs/>
          <w:color w:val="000000"/>
        </w:rPr>
        <w:t>5</w:t>
      </w:r>
      <w:r>
        <w:rPr>
          <w:rFonts w:cs="Arial" w:ascii="Arial" w:hAnsi="Arial"/>
          <w:b/>
          <w:bCs/>
          <w:iCs/>
          <w:color w:val="000000"/>
        </w:rPr>
        <w:t xml:space="preserve"> (SECRETARIA MUNICIPAL DE ASSISTÊNCIA, DESENVOLVIMENTO SOCIAL E FAMÍLIA)</w:t>
      </w:r>
    </w:p>
    <w:p>
      <w:pPr>
        <w:pStyle w:val="Normal"/>
        <w:spacing w:lineRule="auto" w:line="360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ivel1"/>
        <w:keepNext w:val="true"/>
        <w:keepLines/>
        <w:widowControl/>
        <w:numPr>
          <w:ilvl w:val="0"/>
          <w:numId w:val="0"/>
        </w:numPr>
        <w:suppressAutoHyphens w:val="false"/>
        <w:bidi w:val="0"/>
        <w:spacing w:lineRule="auto" w:line="240" w:before="0" w:after="0"/>
        <w:ind w:hanging="0" w:left="0" w:right="0"/>
        <w:jc w:val="both"/>
        <w:rPr>
          <w:rFonts w:ascii="Arial" w:hAnsi="Arial" w:cs="Arial"/>
          <w:b/>
          <w:u w:val="single"/>
        </w:rPr>
      </w:pPr>
      <w:r>
        <w:rPr>
          <w:rFonts w:cs="Times New Roman"/>
          <w:bCs/>
          <w:sz w:val="24"/>
          <w:szCs w:val="24"/>
        </w:rPr>
        <w:t xml:space="preserve">1. DAS CONDIÇÕES GERAIS DA CONTRATAÇÃO </w:t>
      </w:r>
    </w:p>
    <w:p>
      <w:pPr>
        <w:pStyle w:val="Nivel1"/>
        <w:widowControl/>
        <w:numPr>
          <w:ilvl w:val="0"/>
          <w:numId w:val="0"/>
        </w:numPr>
        <w:suppressAutoHyphens w:val="false"/>
        <w:bidi w:val="0"/>
        <w:spacing w:lineRule="auto" w:line="360" w:before="0" w:after="0"/>
        <w:ind w:hanging="0" w:left="0" w:right="0"/>
        <w:jc w:val="both"/>
        <w:rPr>
          <w:rFonts w:ascii="Arial" w:hAnsi="Arial"/>
        </w:rPr>
      </w:pPr>
      <w:r>
        <w:rPr>
          <w:rFonts w:ascii="Arial" w:hAnsi="Arial"/>
          <w:b w:val="false"/>
          <w:bCs w:val="false"/>
          <w:iCs/>
          <w:sz w:val="24"/>
          <w:szCs w:val="24"/>
        </w:rPr>
        <w:t xml:space="preserve">1.1. Aquisição por meio de </w:t>
      </w:r>
      <w:r>
        <w:rPr>
          <w:rFonts w:eastAsia="Times New Roman" w:cs="Times New Roman" w:ascii="Arial" w:hAnsi="Arial"/>
          <w:b w:val="false"/>
          <w:bCs w:val="false"/>
          <w:iCs/>
          <w:sz w:val="24"/>
          <w:szCs w:val="24"/>
          <w:lang w:eastAsia="pt-BR"/>
        </w:rPr>
        <w:t>licitação</w:t>
      </w:r>
      <w:r>
        <w:rPr>
          <w:rFonts w:ascii="Arial" w:hAnsi="Arial"/>
          <w:b w:val="false"/>
          <w:bCs w:val="false"/>
          <w:iCs/>
          <w:sz w:val="24"/>
          <w:szCs w:val="24"/>
        </w:rPr>
        <w:t xml:space="preserve"> </w:t>
      </w:r>
      <w:r>
        <w:rPr>
          <w:rFonts w:eastAsia="Times New Roman" w:cs="Times New Roman" w:ascii="Arial" w:hAnsi="Arial"/>
          <w:b w:val="false"/>
          <w:bCs w:val="false"/>
          <w:iCs/>
          <w:sz w:val="24"/>
          <w:szCs w:val="24"/>
        </w:rPr>
        <w:t>de equipamentos/</w:t>
      </w:r>
      <w:r>
        <w:rPr>
          <w:rFonts w:eastAsia="Times New Roman" w:cs="Times New Roman" w:ascii="Arial" w:hAnsi="Arial"/>
          <w:b w:val="false"/>
          <w:bCs w:val="false"/>
          <w:iCs/>
          <w:sz w:val="24"/>
          <w:szCs w:val="24"/>
        </w:rPr>
        <w:t>mobiliários</w:t>
      </w:r>
      <w:r>
        <w:rPr>
          <w:rFonts w:eastAsia="Times New Roman" w:cs="Times New Roman" w:ascii="Arial" w:hAnsi="Arial"/>
          <w:b w:val="false"/>
          <w:bCs w:val="false"/>
          <w:iCs/>
          <w:sz w:val="24"/>
          <w:szCs w:val="24"/>
        </w:rPr>
        <w:t xml:space="preserve"> para o </w:t>
      </w:r>
      <w:r>
        <w:rPr>
          <w:rFonts w:eastAsia="Times New Roman" w:cs="Times New Roman" w:ascii="Arial" w:hAnsi="Arial"/>
          <w:b w:val="false"/>
          <w:bCs w:val="false"/>
          <w:iCs/>
          <w:sz w:val="24"/>
          <w:szCs w:val="24"/>
        </w:rPr>
        <w:t>uso no Abrigo Luz</w:t>
      </w:r>
      <w:r>
        <w:rPr>
          <w:rFonts w:eastAsia="Times New Roman" w:cs="Times New Roman" w:ascii="Arial" w:hAnsi="Arial"/>
          <w:b w:val="false"/>
          <w:bCs w:val="false"/>
          <w:iCs/>
          <w:sz w:val="24"/>
          <w:szCs w:val="24"/>
        </w:rPr>
        <w:t xml:space="preserve">, </w:t>
      </w:r>
      <w:r>
        <w:rPr>
          <w:rFonts w:eastAsia="Times New Roman" w:cs="Arial" w:ascii="Arial" w:hAnsi="Arial"/>
          <w:b w:val="false"/>
          <w:bCs w:val="false"/>
          <w:iCs/>
          <w:sz w:val="24"/>
          <w:szCs w:val="24"/>
        </w:rPr>
        <w:t xml:space="preserve">para garantir </w:t>
      </w:r>
      <w:r>
        <w:rPr>
          <w:rFonts w:eastAsia="Calibri" w:cs="Arial" w:ascii="Arial" w:hAnsi="Arial"/>
          <w:b w:val="false"/>
          <w:bCs w:val="false"/>
          <w:iCs/>
          <w:color w:val="auto"/>
          <w:kern w:val="0"/>
          <w:sz w:val="24"/>
          <w:szCs w:val="24"/>
          <w:lang w:val="pt-BR" w:eastAsia="zh-CN" w:bidi="hi-IN"/>
        </w:rPr>
        <w:t>o desempenho de atividades pedagógicas de qualidade junto às crianças e adolescentes acolhidos</w:t>
      </w:r>
      <w:r>
        <w:rPr>
          <w:rFonts w:eastAsia="Times New Roman" w:cs="Times New Roman" w:ascii="Arial" w:hAnsi="Arial"/>
          <w:b w:val="false"/>
          <w:bCs w:val="false"/>
          <w:iCs/>
          <w:sz w:val="24"/>
          <w:szCs w:val="24"/>
        </w:rPr>
        <w:t>,</w:t>
      </w:r>
      <w:r>
        <w:rPr>
          <w:rFonts w:ascii="Arial" w:hAnsi="Arial"/>
          <w:b w:val="false"/>
          <w:bCs w:val="false"/>
          <w:iCs/>
          <w:sz w:val="24"/>
          <w:szCs w:val="24"/>
        </w:rPr>
        <w:t xml:space="preserve"> nos termos da tabela abaixo, conforme condições e exigências estabelecidas neste instrumento e no ETP.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360"/>
        <w:ind w:hanging="0" w:left="0" w:right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tbl>
      <w:tblPr>
        <w:tblW w:w="9567" w:type="dxa"/>
        <w:jc w:val="left"/>
        <w:tblInd w:w="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3167"/>
        <w:gridCol w:w="1417"/>
        <w:gridCol w:w="1016"/>
        <w:gridCol w:w="1534"/>
        <w:gridCol w:w="1699"/>
      </w:tblGrid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>Item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cs="Arial" w:ascii="Arial" w:hAnsi="Arial"/>
                <w:b/>
                <w:sz w:val="22"/>
                <w:szCs w:val="22"/>
                <w:u w:val="single"/>
              </w:rPr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>Especificação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>Unidade de medida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  <w:u w:val="none"/>
              </w:rPr>
              <w:t>Quant.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Valor total</w:t>
            </w:r>
          </w:p>
        </w:tc>
      </w:tr>
      <w:tr>
        <w:trPr/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01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Estante organizadora infantil colorida </w:t>
            </w:r>
            <w:r>
              <w:rPr>
                <w:rFonts w:ascii="Arial" w:hAnsi="Arial"/>
                <w:sz w:val="22"/>
                <w:szCs w:val="22"/>
              </w:rPr>
              <w:t>c</w:t>
            </w:r>
            <w:r>
              <w:rPr>
                <w:rFonts w:ascii="Arial" w:hAnsi="Arial"/>
                <w:sz w:val="22"/>
                <w:szCs w:val="22"/>
              </w:rPr>
              <w:t>om nicho de brinquedos, método Montessoriano, em mdf com 11 repartições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Medidas aproximadas 76cm x 88 cm x 30Cm.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Contém 07 caixas médias (28 x 15 x 18 cm) E 04 caixas pequenas ( 14 x 15 x 28 cm)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Times New Roman" w:cs="Times New Roman" w:ascii="Arial" w:hAnsi="Arial"/>
                <w:color w:val="000000"/>
                <w:kern w:val="0"/>
                <w:sz w:val="22"/>
                <w:szCs w:val="22"/>
                <w:lang w:val="pt-BR" w:eastAsia="en-US" w:bidi="ar-SA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02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R$ 388,62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R$ 777,24</w:t>
            </w:r>
          </w:p>
        </w:tc>
      </w:tr>
      <w:tr>
        <w:trPr/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sz w:val="22"/>
                <w:szCs w:val="22"/>
                <w:u w:val="none"/>
              </w:rPr>
              <w:t>02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</w:t>
            </w:r>
            <w:r>
              <w:rPr>
                <w:rFonts w:ascii="Arial" w:hAnsi="Arial"/>
                <w:sz w:val="22"/>
                <w:szCs w:val="22"/>
              </w:rPr>
              <w:t>ômoda multiuso com 05 gavetas e 01 Porta, em mdf reforçado, cor bran</w:t>
            </w:r>
            <w:r>
              <w:rPr>
                <w:rFonts w:ascii="Arial" w:hAnsi="Arial"/>
                <w:sz w:val="22"/>
                <w:szCs w:val="22"/>
              </w:rPr>
              <w:t>ca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Me</w:t>
            </w:r>
            <w:r>
              <w:rPr>
                <w:rFonts w:ascii="Arial" w:hAnsi="Arial"/>
                <w:sz w:val="22"/>
                <w:szCs w:val="22"/>
              </w:rPr>
              <w:t>did</w:t>
            </w:r>
            <w:r>
              <w:rPr>
                <w:rFonts w:ascii="Arial" w:hAnsi="Arial"/>
                <w:sz w:val="22"/>
                <w:szCs w:val="22"/>
              </w:rPr>
              <w:t>as das gavetas aprox 82 cm (externo); 75 cm (interno) 11 altura; 40 cm Profundidade com puxadores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Medidas aproximadas da comoda: 117x121x45 cm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Times New Roman" w:cs="Times New Roman" w:ascii="Arial" w:hAnsi="Arial"/>
                <w:color w:val="000000"/>
                <w:kern w:val="0"/>
                <w:sz w:val="22"/>
                <w:szCs w:val="22"/>
                <w:lang w:val="pt-BR" w:eastAsia="en-US" w:bidi="ar-SA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01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R$ 1.028,77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R$ 1.028,77</w:t>
            </w:r>
          </w:p>
        </w:tc>
      </w:tr>
      <w:tr>
        <w:trPr/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sz w:val="22"/>
                <w:szCs w:val="22"/>
                <w:u w:val="none"/>
              </w:rPr>
              <w:t>03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Mapoteca horizotal em aço com 10 Gavetas. Gavetas com abas Articuláveis para não enrolar a Folha; todas as gavetas devem possuir Porta etiqueta; dimensões: 1223mm  x 1204mm x 770mm com puxadores tipo alça Por gaveta; sistema de travamento por Chave; gavetas em aço chapa 24;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Times New Roman" w:cs="Times New Roman" w:ascii="Arial" w:hAnsi="Arial"/>
                <w:color w:val="000000"/>
                <w:kern w:val="0"/>
                <w:sz w:val="22"/>
                <w:szCs w:val="22"/>
                <w:lang w:val="pt-BR" w:eastAsia="en-US" w:bidi="ar-SA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01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R$ 11.307,13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R$ 11.307,13</w:t>
            </w:r>
          </w:p>
        </w:tc>
      </w:tr>
      <w:tr>
        <w:trPr/>
        <w:tc>
          <w:tcPr>
            <w:tcW w:w="956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360"/>
              <w:jc w:val="center"/>
              <w:rPr>
                <w:sz w:val="24"/>
                <w:szCs w:val="24"/>
              </w:rPr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36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/>
                <w:sz w:val="24"/>
                <w:szCs w:val="24"/>
                <w:shd w:fill="auto" w:val="clear"/>
              </w:rPr>
              <w:t xml:space="preserve">VALOR TOTAL: </w:t>
            </w:r>
            <w:r>
              <w:rPr>
                <w:rFonts w:ascii="Arial" w:hAnsi="Arial"/>
                <w:b/>
                <w:color w:val="000000"/>
                <w:sz w:val="24"/>
                <w:szCs w:val="24"/>
                <w:shd w:fill="auto" w:val="clear"/>
                <w:lang w:eastAsia="en-US"/>
              </w:rPr>
              <w:t xml:space="preserve">R$ </w:t>
            </w:r>
            <w:r>
              <w:rPr>
                <w:rFonts w:eastAsia="Times New Roman" w:cs="Times New Roman" w:ascii="Arial" w:hAnsi="Arial"/>
                <w:b/>
                <w:color w:val="000000"/>
                <w:sz w:val="24"/>
                <w:szCs w:val="24"/>
                <w:shd w:fill="auto" w:val="clear"/>
                <w:lang w:eastAsia="en-US"/>
              </w:rPr>
              <w:t xml:space="preserve"> </w:t>
            </w:r>
            <w:r>
              <w:rPr>
                <w:rFonts w:eastAsia="Times New Roman" w:cs="Times New Roman" w:ascii="Arial" w:hAnsi="Arial"/>
                <w:b/>
                <w:color w:val="000000"/>
                <w:sz w:val="24"/>
                <w:szCs w:val="24"/>
                <w:shd w:fill="auto" w:val="clear"/>
                <w:lang w:eastAsia="en-US"/>
              </w:rPr>
              <w:t>13.113,14 (treze mil cento e treze reais e quatorze</w:t>
            </w:r>
            <w:r>
              <w:rPr>
                <w:rFonts w:eastAsia="Times New Roman" w:cs="Times New Roman" w:ascii="Arial" w:hAnsi="Arial"/>
                <w:b/>
                <w:color w:val="000000"/>
                <w:sz w:val="24"/>
                <w:szCs w:val="24"/>
                <w:shd w:fill="auto" w:val="clear"/>
                <w:lang w:eastAsia="en-US"/>
              </w:rPr>
              <w:t xml:space="preserve"> centavos)</w:t>
            </w:r>
          </w:p>
        </w:tc>
      </w:tr>
    </w:tbl>
    <w:p>
      <w:pPr>
        <w:pStyle w:val="ListParagraph"/>
        <w:widowControl w:val="false"/>
        <w:suppressAutoHyphens w:val="false"/>
        <w:spacing w:lineRule="auto" w:line="360"/>
        <w:ind w:hanging="0" w:left="-22" w:right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ListParagraph"/>
        <w:suppressAutoHyphens w:val="false"/>
        <w:spacing w:lineRule="auto" w:line="360"/>
        <w:ind w:hanging="0" w:left="0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  <w:iCs/>
          <w:sz w:val="24"/>
          <w:szCs w:val="24"/>
        </w:rPr>
        <w:t>1.2</w:t>
      </w:r>
      <w:r>
        <w:rPr>
          <w:rFonts w:ascii="Arial" w:hAnsi="Arial"/>
          <w:b/>
          <w:bCs/>
          <w:iCs/>
          <w:sz w:val="24"/>
          <w:szCs w:val="24"/>
        </w:rPr>
        <w:t>.</w:t>
      </w:r>
      <w:r>
        <w:rPr>
          <w:rFonts w:ascii="Arial" w:hAnsi="Arial"/>
          <w:iCs/>
          <w:sz w:val="24"/>
          <w:szCs w:val="24"/>
        </w:rPr>
        <w:t xml:space="preserve"> O</w:t>
      </w:r>
      <w:r>
        <w:rPr>
          <w:rFonts w:ascii="Arial" w:hAnsi="Arial"/>
          <w:iCs/>
          <w:sz w:val="24"/>
          <w:szCs w:val="24"/>
        </w:rPr>
        <w:t>s</w:t>
      </w:r>
      <w:r>
        <w:rPr>
          <w:rFonts w:ascii="Arial" w:hAnsi="Arial"/>
          <w:iCs/>
          <w:sz w:val="24"/>
          <w:szCs w:val="24"/>
        </w:rPr>
        <w:t xml:space="preserve"> objetos desta aquisição, não se enquadram como sendo de bens de luxo, conforme Decreto nº 10.818, de 2021.</w:t>
      </w:r>
    </w:p>
    <w:p>
      <w:pPr>
        <w:pStyle w:val="ListParagraph"/>
        <w:suppressAutoHyphens w:val="false"/>
        <w:spacing w:lineRule="auto" w:line="360"/>
        <w:ind w:hanging="0" w:left="-22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  <w:iCs/>
          <w:sz w:val="24"/>
          <w:szCs w:val="24"/>
        </w:rPr>
        <w:t>1.3</w:t>
      </w:r>
      <w:r>
        <w:rPr>
          <w:rFonts w:ascii="Arial" w:hAnsi="Arial"/>
          <w:iCs/>
          <w:sz w:val="24"/>
          <w:szCs w:val="24"/>
        </w:rPr>
        <w:t xml:space="preserve">. </w:t>
      </w:r>
      <w:r>
        <w:rPr>
          <w:rFonts w:ascii="Arial" w:hAnsi="Arial"/>
          <w:sz w:val="24"/>
          <w:szCs w:val="24"/>
        </w:rPr>
        <w:t>O prazo de vigência da aquisição será de 30 (trinta) dia, com a entrega em 15 (quinze) dias, após a emissão da autorização de fornecimento pelo Departamento de Compras e Contratos.</w:t>
      </w:r>
    </w:p>
    <w:p>
      <w:pPr>
        <w:pStyle w:val="ListParagraph"/>
        <w:suppressAutoHyphens w:val="false"/>
        <w:spacing w:lineRule="auto" w:line="360"/>
        <w:ind w:hanging="0" w:left="-22" w:right="0"/>
        <w:jc w:val="both"/>
        <w:rPr>
          <w:b w:val="false"/>
          <w:bCs w:val="false"/>
          <w:i w:val="false"/>
          <w:i w:val="false"/>
          <w:iCs w:val="false"/>
        </w:rPr>
      </w:pPr>
      <w:r>
        <w:rPr>
          <w:rFonts w:ascii="Arial" w:hAnsi="Arial"/>
          <w:b w:val="false"/>
          <w:bCs w:val="false"/>
          <w:i w:val="false"/>
          <w:iCs w:val="false"/>
          <w:sz w:val="24"/>
          <w:szCs w:val="24"/>
        </w:rPr>
        <w:t xml:space="preserve">1.4. </w:t>
      </w:r>
      <w:r>
        <w:rPr>
          <w:rFonts w:cs="Arial" w:ascii="Arial" w:hAnsi="Arial"/>
          <w:b w:val="false"/>
          <w:bCs w:val="false"/>
          <w:i w:val="false"/>
          <w:iCs w:val="false"/>
          <w:sz w:val="24"/>
          <w:szCs w:val="24"/>
          <w:shd w:fill="auto" w:val="clear"/>
        </w:rPr>
        <w:t xml:space="preserve">O objeto da contratação será composto por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0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3</w:t>
      </w:r>
      <w:r>
        <w:rPr>
          <w:rFonts w:cs="Arial" w:ascii="Arial" w:hAnsi="Arial"/>
          <w:b w:val="false"/>
          <w:bCs w:val="false"/>
          <w:i w:val="false"/>
          <w:iCs w:val="false"/>
          <w:sz w:val="24"/>
          <w:szCs w:val="24"/>
          <w:shd w:fill="auto" w:val="clear"/>
        </w:rPr>
        <w:t xml:space="preserve"> itens, de preço total estimado orçado pela administração no valor</w:t>
      </w:r>
      <w:r>
        <w:rPr>
          <w:rFonts w:eastAsia="Arial" w:cs="Arial" w:ascii="Arial" w:hAnsi="Arial"/>
          <w:b w:val="false"/>
          <w:bCs w:val="false"/>
          <w:i w:val="false"/>
          <w:iCs w:val="false"/>
          <w:color w:val="000000"/>
          <w:sz w:val="24"/>
          <w:szCs w:val="24"/>
          <w:shd w:fill="auto" w:val="clear"/>
        </w:rPr>
        <w:t xml:space="preserve"> </w:t>
      </w:r>
      <w:r>
        <w:rPr>
          <w:rFonts w:eastAsia="Arial" w:cs="Arial" w:ascii="Arial" w:hAnsi="Arial"/>
          <w:b w:val="false"/>
          <w:bCs w:val="false"/>
          <w:i w:val="false"/>
          <w:iCs w:val="false"/>
          <w:color w:val="000000"/>
          <w:sz w:val="24"/>
          <w:szCs w:val="24"/>
          <w:shd w:fill="auto" w:val="clear"/>
        </w:rPr>
        <w:t xml:space="preserve">R$ </w:t>
      </w:r>
      <w:r>
        <w:rPr>
          <w:rFonts w:eastAsia="Times New Roman" w:cs="Times New Roman" w:ascii="Arial" w:hAnsi="Arial"/>
          <w:b w:val="false"/>
          <w:bCs w:val="false"/>
          <w:i w:val="false"/>
          <w:iCs w:val="false"/>
          <w:color w:val="000000"/>
          <w:sz w:val="24"/>
          <w:szCs w:val="24"/>
          <w:shd w:fill="auto" w:val="clear"/>
          <w:lang w:eastAsia="en-US"/>
        </w:rPr>
        <w:t>13.113,14 (treze mil cento e treze reais e quatorze</w:t>
      </w:r>
      <w:r>
        <w:rPr>
          <w:rFonts w:eastAsia="Times New Roman" w:cs="Times New Roman" w:ascii="Arial" w:hAnsi="Arial"/>
          <w:b w:val="false"/>
          <w:bCs w:val="false"/>
          <w:i w:val="false"/>
          <w:iCs w:val="false"/>
          <w:color w:val="000000"/>
          <w:sz w:val="24"/>
          <w:szCs w:val="24"/>
          <w:shd w:fill="auto" w:val="clear"/>
          <w:lang w:eastAsia="en-US"/>
        </w:rPr>
        <w:t xml:space="preserve"> centavos). </w:t>
      </w:r>
      <w:r>
        <w:rPr>
          <w:rFonts w:cs="Arial" w:ascii="Arial" w:hAnsi="Arial"/>
          <w:b w:val="false"/>
          <w:bCs w:val="false"/>
          <w:i w:val="false"/>
          <w:iCs w:val="false"/>
          <w:sz w:val="24"/>
          <w:szCs w:val="24"/>
          <w:shd w:fill="auto" w:val="clear"/>
        </w:rPr>
        <w:t xml:space="preserve">Para fins de classificação, será considerado o menor preço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por item</w:t>
      </w:r>
      <w:r>
        <w:rPr>
          <w:rFonts w:cs="Arial" w:ascii="Arial" w:hAnsi="Arial"/>
          <w:b w:val="false"/>
          <w:bCs w:val="false"/>
          <w:i w:val="false"/>
          <w:iCs w:val="false"/>
          <w:sz w:val="24"/>
          <w:szCs w:val="24"/>
          <w:shd w:fill="auto" w:val="clear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pacing w:lineRule="auto" w:line="240"/>
        <w:rPr>
          <w:rFonts w:ascii="Arial" w:hAnsi="Arial" w:cs="Arial"/>
          <w:b w:val="false"/>
          <w:bCs w:val="false"/>
          <w:i w:val="false"/>
          <w:i w:val="false"/>
          <w:iCs w:val="false"/>
          <w:u w:val="single"/>
        </w:rPr>
      </w:pPr>
      <w:r>
        <w:rPr>
          <w:rFonts w:cs="Arial" w:ascii="Arial" w:hAnsi="Arial"/>
          <w:b w:val="false"/>
          <w:bCs w:val="false"/>
          <w:i w:val="false"/>
          <w:iCs w:val="false"/>
          <w:u w:val="single"/>
        </w:rPr>
      </w:r>
    </w:p>
    <w:p>
      <w:pPr>
        <w:pStyle w:val="Nivel1"/>
        <w:numPr>
          <w:ilvl w:val="0"/>
          <w:numId w:val="0"/>
        </w:numPr>
        <w:spacing w:lineRule="auto" w:line="360" w:before="0" w:after="0"/>
        <w:ind w:hanging="0" w:left="0" w:right="0"/>
        <w:rPr>
          <w:rFonts w:ascii="Arial" w:hAnsi="Arial" w:cs="Arial"/>
          <w:b/>
          <w:u w:val="single"/>
        </w:rPr>
      </w:pPr>
      <w:r>
        <w:rPr>
          <w:rFonts w:cs="Times New Roman"/>
          <w:bCs/>
          <w:sz w:val="24"/>
          <w:szCs w:val="24"/>
        </w:rPr>
        <w:t xml:space="preserve">2. FUNDAMENTAÇÃO E DESCRIÇÃO DA NECESSIDADE DA CONTRATAÇÃO 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360" w:before="0" w:after="0"/>
        <w:ind w:hanging="0" w:left="0" w:right="0"/>
        <w:contextualSpacing/>
        <w:jc w:val="both"/>
        <w:rPr>
          <w:rFonts w:ascii="Arial" w:hAnsi="Arial"/>
          <w:b w:val="false"/>
          <w:bCs w:val="false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  <w:shd w:fill="auto" w:val="clear"/>
        </w:rPr>
        <w:t xml:space="preserve">2.1. Os materiais indicados neste estudo são objeto de necessidade do Abrigo Luz para garantir </w:t>
      </w:r>
      <w:r>
        <w:rPr>
          <w:rFonts w:eastAsia="Calibri" w:cs="Arial" w:ascii="Arial" w:hAnsi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hi-IN"/>
        </w:rPr>
        <w:t>o desempenho de atividades pedagógicas de qualidade junto às crianças e adolescentes acolhidos.</w:t>
      </w:r>
    </w:p>
    <w:p>
      <w:pPr>
        <w:pStyle w:val="ListParagraph"/>
        <w:widowControl/>
        <w:suppressAutoHyphens w:val="true"/>
        <w:bidi w:val="0"/>
        <w:spacing w:lineRule="auto" w:line="360" w:before="0" w:after="0"/>
        <w:ind w:hanging="0" w:left="0" w:right="0"/>
        <w:contextualSpacing/>
        <w:jc w:val="both"/>
        <w:rPr>
          <w:rFonts w:ascii="Arial" w:hAnsi="Arial"/>
          <w:b w:val="false"/>
          <w:bCs w:val="false"/>
        </w:rPr>
      </w:pPr>
      <w:r>
        <w:rPr>
          <w:rFonts w:eastAsia="Calibri" w:cs="Arial" w:ascii="Arial" w:hAnsi="Arial"/>
          <w:b w:val="false"/>
          <w:bCs w:val="false"/>
          <w:color w:val="auto"/>
          <w:kern w:val="0"/>
          <w:sz w:val="24"/>
          <w:szCs w:val="24"/>
          <w:lang w:val="pt-BR" w:eastAsia="zh-CN" w:bidi="hi-IN"/>
        </w:rPr>
        <w:t>2</w:t>
      </w:r>
      <w:r>
        <w:rPr>
          <w:rFonts w:eastAsia="Calibri" w:cs="Arial" w:ascii="Arial" w:hAnsi="Arial"/>
          <w:b w:val="false"/>
          <w:bCs w:val="false"/>
          <w:color w:val="auto"/>
          <w:kern w:val="0"/>
          <w:sz w:val="24"/>
          <w:szCs w:val="24"/>
          <w:lang w:val="pt-BR" w:eastAsia="zh-CN" w:bidi="hi-IN"/>
        </w:rPr>
        <w:t>.2. Os acolhidos no serviço provém de famílias em situação de vulnerabilidade socioeconômica e por vezes com baixo estímulo de atividades pedagógicas as quais contribuem para o desenvolvimento educacional e social e reestruturação de relacionamentos familiares.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hanging="0" w:left="0" w:right="0"/>
        <w:contextualSpacing/>
        <w:jc w:val="both"/>
        <w:rPr>
          <w:rFonts w:ascii="Arial" w:hAnsi="Arial" w:eastAsia="Calibri" w:cs="Arial"/>
          <w:color w:val="000000"/>
          <w:kern w:val="0"/>
          <w:sz w:val="24"/>
          <w:szCs w:val="24"/>
          <w:shd w:fill="auto" w:val="clear"/>
          <w:lang w:val="pt-BR" w:eastAsia="zh-CN" w:bidi="ar-SA"/>
        </w:rPr>
      </w:pPr>
      <w:r>
        <w:rPr>
          <w:rFonts w:eastAsia="Calibri" w:cs="Arial" w:ascii="Arial" w:hAnsi="Arial"/>
          <w:color w:val="000000"/>
          <w:kern w:val="0"/>
          <w:sz w:val="24"/>
          <w:szCs w:val="24"/>
          <w:shd w:fill="auto" w:val="clear"/>
          <w:lang w:val="pt-BR" w:eastAsia="zh-CN" w:bidi="ar-SA"/>
        </w:rPr>
      </w:r>
    </w:p>
    <w:p>
      <w:pPr>
        <w:pStyle w:val="Nivel1"/>
        <w:spacing w:lineRule="auto" w:line="360" w:before="0" w:after="0"/>
        <w:ind w:hanging="0" w:left="0" w:right="0"/>
        <w:rPr>
          <w:rFonts w:ascii="Arial" w:hAnsi="Arial" w:cs="Arial"/>
          <w:b/>
          <w:u w:val="single"/>
        </w:rPr>
      </w:pPr>
      <w:r>
        <w:rPr>
          <w:rFonts w:cs="Times New Roman"/>
          <w:bCs/>
          <w:sz w:val="24"/>
          <w:szCs w:val="24"/>
        </w:rPr>
        <w:t xml:space="preserve">3. DESCRIÇÃO DA SOLUÇÃO COMO UM TODO CONSIDERADO O CICLO DE VIDA DO OBJETO E ESPECIFICAÇÃO DO PRODUTO </w:t>
      </w:r>
    </w:p>
    <w:p>
      <w:pPr>
        <w:pStyle w:val="Normal"/>
        <w:spacing w:lineRule="auto" w:line="360" w:before="0" w:after="0"/>
        <w:jc w:val="both"/>
        <w:rPr>
          <w:rFonts w:ascii="Arial" w:hAnsi="Arial"/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4"/>
          <w:szCs w:val="24"/>
          <w:shd w:fill="auto" w:val="clear"/>
        </w:rPr>
        <w:t>3</w:t>
      </w:r>
      <w:r>
        <w:rPr>
          <w:rFonts w:cs="Arial" w:ascii="Arial" w:hAnsi="Arial"/>
          <w:b w:val="false"/>
          <w:bCs w:val="false"/>
          <w:sz w:val="24"/>
          <w:szCs w:val="24"/>
          <w:shd w:fill="auto" w:val="clear"/>
        </w:rPr>
        <w:t xml:space="preserve">.1 A solução a ser adotada consiste no fornecimento de </w:t>
      </w:r>
      <w:r>
        <w:rPr>
          <w:rFonts w:eastAsia="NSimSun" w:cs="Arial" w:ascii="Arial" w:hAnsi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hi-IN"/>
        </w:rPr>
        <w:t>mobiliários para o Abrigo Luz.</w:t>
      </w:r>
    </w:p>
    <w:p>
      <w:pPr>
        <w:pStyle w:val="Normal"/>
        <w:spacing w:lineRule="auto" w:line="360" w:before="0" w:after="0"/>
        <w:jc w:val="both"/>
        <w:rPr>
          <w:rFonts w:ascii="Arial" w:hAnsi="Arial"/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4"/>
          <w:szCs w:val="24"/>
          <w:shd w:fill="auto" w:val="clear"/>
        </w:rPr>
        <w:t>3</w:t>
      </w:r>
      <w:r>
        <w:rPr>
          <w:rFonts w:cs="Arial" w:ascii="Arial" w:hAnsi="Arial"/>
          <w:b w:val="false"/>
          <w:bCs w:val="false"/>
          <w:sz w:val="24"/>
          <w:szCs w:val="24"/>
          <w:shd w:fill="auto" w:val="clear"/>
        </w:rPr>
        <w:t xml:space="preserve">.2. Os </w:t>
      </w: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produtos</w:t>
      </w:r>
      <w:r>
        <w:rPr>
          <w:rFonts w:cs="Arial" w:ascii="Arial" w:hAnsi="Arial"/>
          <w:b w:val="false"/>
          <w:bCs w:val="false"/>
          <w:sz w:val="24"/>
          <w:szCs w:val="24"/>
          <w:shd w:fill="auto" w:val="clear"/>
        </w:rPr>
        <w:t xml:space="preserve"> deverão ser </w:t>
      </w: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entregues</w:t>
      </w:r>
      <w:r>
        <w:rPr>
          <w:rFonts w:cs="Arial" w:ascii="Arial" w:hAnsi="Arial"/>
          <w:b w:val="false"/>
          <w:bCs w:val="false"/>
          <w:sz w:val="24"/>
          <w:szCs w:val="24"/>
          <w:shd w:fill="auto" w:val="clear"/>
        </w:rPr>
        <w:t xml:space="preserve"> respeitando as seguintes tarefas:</w:t>
      </w:r>
    </w:p>
    <w:p>
      <w:pPr>
        <w:pStyle w:val="Normal"/>
        <w:spacing w:lineRule="auto" w:line="360" w:before="0" w:after="0"/>
        <w:jc w:val="both"/>
        <w:rPr>
          <w:rFonts w:ascii="Arial" w:hAnsi="Arial"/>
          <w:b w:val="false"/>
          <w:bCs w:val="false"/>
          <w:sz w:val="24"/>
          <w:szCs w:val="24"/>
          <w:highlight w:val="none"/>
          <w:shd w:fill="auto" w:val="clear"/>
        </w:rPr>
      </w:pPr>
      <w:r>
        <w:rPr>
          <w:rFonts w:ascii="Arial" w:hAnsi="Arial"/>
          <w:b w:val="false"/>
          <w:bCs w:val="false"/>
          <w:sz w:val="24"/>
          <w:szCs w:val="24"/>
          <w:shd w:fill="auto" w:val="clear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70"/>
        <w:gridCol w:w="9113"/>
      </w:tblGrid>
      <w:tr>
        <w:trPr/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Arial" w:hAnsi="Arial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91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Arial" w:hAnsi="Arial"/>
                <w:b w:val="false"/>
                <w:bCs w:val="fals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  <w:t xml:space="preserve">Fornecimento dos produtos em perfeitas condições de uso, conforme estabelecido no item 7.1. </w:t>
            </w:r>
          </w:p>
        </w:tc>
      </w:tr>
      <w:tr>
        <w:trPr/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Arial" w:hAnsi="Arial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911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Arial" w:hAnsi="Arial"/>
                <w:b w:val="false"/>
                <w:bCs w:val="fals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  <w:t xml:space="preserve">Responsabilizar-se pela logística, montagem e todo procedimento de entrega dos itens; </w:t>
            </w:r>
          </w:p>
        </w:tc>
      </w:tr>
      <w:tr>
        <w:trPr/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Arial" w:hAnsi="Arial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  <w:shd w:fill="auto" w:val="clear"/>
              </w:rPr>
              <w:t>3</w:t>
            </w:r>
          </w:p>
        </w:tc>
        <w:tc>
          <w:tcPr>
            <w:tcW w:w="911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Arial" w:hAnsi="Arial"/>
                <w:b w:val="false"/>
                <w:bCs w:val="fals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  <w:t xml:space="preserve">Fornecer os produtos de acordo com a cotação de preços; </w:t>
            </w:r>
          </w:p>
        </w:tc>
      </w:tr>
      <w:tr>
        <w:trPr/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Arial" w:hAnsi="Arial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  <w:shd w:fill="auto" w:val="clear"/>
              </w:rPr>
              <w:t>4</w:t>
            </w:r>
          </w:p>
        </w:tc>
        <w:tc>
          <w:tcPr>
            <w:tcW w:w="911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Arial" w:hAnsi="Arial"/>
                <w:b w:val="false"/>
                <w:bCs w:val="fals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  <w:t>Todos os produtos devem vir embalados de forma a evitar danos durante o transporte</w:t>
            </w:r>
          </w:p>
        </w:tc>
      </w:tr>
    </w:tbl>
    <w:p>
      <w:pPr>
        <w:pStyle w:val="Normal"/>
        <w:spacing w:lineRule="auto" w:line="360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/>
          <w:b w:val="false"/>
          <w:bCs w:val="false"/>
        </w:rPr>
      </w:pPr>
      <w:r>
        <w:rPr>
          <w:rFonts w:ascii="Arial" w:hAnsi="Arial"/>
          <w:b w:val="false"/>
          <w:bCs w:val="false"/>
          <w:color w:val="000000"/>
          <w:sz w:val="24"/>
          <w:szCs w:val="24"/>
        </w:rPr>
        <w:t>3</w:t>
      </w:r>
      <w:r>
        <w:rPr>
          <w:rFonts w:ascii="Arial" w:hAnsi="Arial"/>
          <w:b w:val="false"/>
          <w:bCs w:val="false"/>
          <w:color w:val="000000"/>
          <w:sz w:val="24"/>
          <w:szCs w:val="24"/>
        </w:rPr>
        <w:t xml:space="preserve">.3. Os produtos que apresentarem </w:t>
      </w:r>
      <w:r>
        <w:rPr>
          <w:rFonts w:eastAsia="Times New Roman" w:cs="Times New Roman" w:ascii="Arial" w:hAnsi="Arial"/>
          <w:b w:val="false"/>
          <w:bCs w:val="false"/>
          <w:color w:val="000000"/>
          <w:kern w:val="0"/>
          <w:sz w:val="24"/>
          <w:szCs w:val="24"/>
          <w:lang w:val="pt-BR" w:eastAsia="zh-CN" w:bidi="ar-SA"/>
        </w:rPr>
        <w:t>condições incompatíveis de uso</w:t>
      </w:r>
      <w:r>
        <w:rPr>
          <w:rFonts w:ascii="Arial" w:hAnsi="Arial"/>
          <w:b w:val="false"/>
          <w:bCs w:val="false"/>
          <w:color w:val="000000"/>
          <w:sz w:val="24"/>
          <w:szCs w:val="24"/>
        </w:rPr>
        <w:t xml:space="preserve"> serão devolvidos ao fornecedor e este </w:t>
      </w:r>
      <w:r>
        <w:rPr>
          <w:rFonts w:eastAsia="Times New Roman" w:cs="Times New Roman" w:ascii="Arial" w:hAnsi="Arial"/>
          <w:b w:val="false"/>
          <w:bCs w:val="false"/>
          <w:color w:val="000000"/>
          <w:kern w:val="0"/>
          <w:sz w:val="24"/>
          <w:szCs w:val="24"/>
          <w:lang w:val="pt-BR" w:eastAsia="zh-CN" w:bidi="ar-SA"/>
        </w:rPr>
        <w:t>deverá repor imediatamente o produto inutilizável</w:t>
      </w:r>
      <w:r>
        <w:rPr>
          <w:rFonts w:ascii="Arial" w:hAnsi="Arial"/>
          <w:b w:val="false"/>
          <w:bCs w:val="false"/>
          <w:color w:val="000000"/>
          <w:sz w:val="24"/>
          <w:szCs w:val="24"/>
        </w:rPr>
        <w:t>;</w:t>
      </w:r>
    </w:p>
    <w:p>
      <w:pPr>
        <w:pStyle w:val="Normal"/>
        <w:spacing w:lineRule="auto" w:line="360"/>
        <w:jc w:val="both"/>
        <w:rPr>
          <w:rFonts w:ascii="Arial" w:hAnsi="Arial"/>
          <w:b w:val="false"/>
          <w:bCs w:val="false"/>
        </w:rPr>
      </w:pPr>
      <w:r>
        <w:rPr>
          <w:rFonts w:ascii="Arial" w:hAnsi="Arial"/>
          <w:b w:val="false"/>
          <w:bCs w:val="false"/>
          <w:color w:val="000000"/>
          <w:sz w:val="24"/>
          <w:szCs w:val="24"/>
        </w:rPr>
        <w:t>3</w:t>
      </w:r>
      <w:r>
        <w:rPr>
          <w:rFonts w:ascii="Arial" w:hAnsi="Arial"/>
          <w:b w:val="false"/>
          <w:bCs w:val="false"/>
          <w:color w:val="000000"/>
          <w:sz w:val="24"/>
          <w:szCs w:val="24"/>
        </w:rPr>
        <w:t xml:space="preserve">.4. </w:t>
      </w:r>
      <w:r>
        <w:rPr>
          <w:rFonts w:eastAsia="Arial" w:cs="Arial" w:ascii="Arial" w:hAnsi="Arial"/>
          <w:b w:val="false"/>
          <w:bCs w:val="false"/>
          <w:color w:val="000000"/>
          <w:sz w:val="24"/>
          <w:szCs w:val="24"/>
          <w:shd w:fill="auto" w:val="clear"/>
        </w:rPr>
        <w:t>As especificações dos produtos que estão contidas neste Estudo Técnico Preliminar, conforme solicitação de compras em anexo, estão de acordo com os padr</w:t>
      </w:r>
      <w:r>
        <w:rPr>
          <w:rFonts w:eastAsia="Arial" w:cs="Arial" w:ascii="Arial" w:hAnsi="Arial"/>
          <w:b w:val="false"/>
          <w:bCs w:val="false"/>
          <w:color w:val="000000"/>
          <w:sz w:val="24"/>
          <w:szCs w:val="24"/>
        </w:rPr>
        <w:t>ões existentes no mercado.</w:t>
      </w:r>
    </w:p>
    <w:p>
      <w:pPr>
        <w:pStyle w:val="Normal"/>
        <w:spacing w:lineRule="auto" w:line="360" w:before="0" w:after="0"/>
        <w:jc w:val="both"/>
        <w:rPr>
          <w:rFonts w:ascii="Arial" w:hAnsi="Arial"/>
          <w:b w:val="false"/>
          <w:bCs w:val="false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  <w:shd w:fill="auto" w:val="clear"/>
        </w:rPr>
        <w:t>3</w:t>
      </w:r>
      <w:r>
        <w:rPr>
          <w:rFonts w:cs="Arial" w:ascii="Arial" w:hAnsi="Arial"/>
          <w:b w:val="false"/>
          <w:bCs w:val="false"/>
          <w:color w:val="000000"/>
          <w:sz w:val="24"/>
          <w:szCs w:val="24"/>
          <w:shd w:fill="auto" w:val="clear"/>
        </w:rPr>
        <w:t xml:space="preserve">.5. A </w:t>
      </w: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contratação</w:t>
      </w:r>
      <w:r>
        <w:rPr>
          <w:rFonts w:cs="Arial" w:ascii="Arial" w:hAnsi="Arial"/>
          <w:b w:val="false"/>
          <w:bCs w:val="false"/>
          <w:color w:val="000000"/>
          <w:sz w:val="24"/>
          <w:szCs w:val="24"/>
          <w:shd w:fill="auto" w:val="clear"/>
        </w:rPr>
        <w:t xml:space="preserve"> deverá obedecer, no que couber, ao disposto na Lei n.º 14.133/2021 e suas alterações.</w:t>
      </w:r>
    </w:p>
    <w:p>
      <w:pPr>
        <w:pStyle w:val="Normal"/>
        <w:spacing w:lineRule="auto" w:line="2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ivel1"/>
        <w:spacing w:lineRule="auto" w:line="360" w:before="0" w:after="0"/>
        <w:ind w:hanging="0" w:left="0" w:right="0"/>
        <w:rPr>
          <w:rFonts w:ascii="Arial" w:hAnsi="Arial" w:cs="Arial"/>
          <w:b/>
          <w:u w:val="single"/>
        </w:rPr>
      </w:pPr>
      <w:r>
        <w:rPr>
          <w:rFonts w:cs="Times New Roman"/>
          <w:bCs/>
          <w:sz w:val="24"/>
          <w:szCs w:val="24"/>
        </w:rPr>
        <w:t xml:space="preserve">4. REQUISITOS DA CONTRATAÇÃO </w:t>
      </w:r>
    </w:p>
    <w:p>
      <w:pPr>
        <w:pStyle w:val="Normal"/>
        <w:spacing w:lineRule="auto" w:line="360"/>
        <w:jc w:val="both"/>
        <w:rPr>
          <w:rFonts w:ascii="Arial" w:hAnsi="Arial"/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4"/>
          <w:szCs w:val="24"/>
          <w:shd w:fill="auto" w:val="clear"/>
        </w:rPr>
        <w:t xml:space="preserve">4.1. Na </w:t>
      </w: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entrega dos produtos</w:t>
      </w:r>
      <w:r>
        <w:rPr>
          <w:rFonts w:cs="Arial" w:ascii="Arial" w:hAnsi="Arial"/>
          <w:b w:val="false"/>
          <w:bCs w:val="false"/>
          <w:sz w:val="24"/>
          <w:szCs w:val="24"/>
          <w:shd w:fill="auto" w:val="clear"/>
        </w:rPr>
        <w:t>, a CONTRATADA deve:</w:t>
      </w:r>
    </w:p>
    <w:p>
      <w:pPr>
        <w:pStyle w:val="Normal"/>
        <w:spacing w:lineRule="auto" w:line="360" w:before="0" w:after="0"/>
        <w:jc w:val="both"/>
        <w:rPr>
          <w:rFonts w:ascii="Arial" w:hAnsi="Arial"/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4"/>
          <w:szCs w:val="24"/>
          <w:shd w:fill="auto" w:val="clear"/>
        </w:rPr>
        <w:t xml:space="preserve">a) </w:t>
      </w: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Se submeter às regras do edital de licitação ou dispensa de licitação, apresentando toda a documentação exigida pelo órgão público competente; </w:t>
      </w:r>
    </w:p>
    <w:p>
      <w:pPr>
        <w:pStyle w:val="Normal"/>
        <w:spacing w:lineRule="auto" w:line="360" w:before="0" w:after="0"/>
        <w:jc w:val="both"/>
        <w:rPr>
          <w:rFonts w:ascii="Arial" w:hAnsi="Arial"/>
          <w:b w:val="false"/>
          <w:bCs w:val="false"/>
        </w:rPr>
      </w:pP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b) Estar em dia com as obrigações fiscais da empresa; </w:t>
      </w:r>
    </w:p>
    <w:p>
      <w:pPr>
        <w:pStyle w:val="Normal"/>
        <w:spacing w:lineRule="auto" w:line="360" w:before="0" w:after="0"/>
        <w:jc w:val="both"/>
        <w:rPr>
          <w:rFonts w:ascii="Arial" w:hAnsi="Arial"/>
          <w:b w:val="false"/>
          <w:bCs w:val="false"/>
        </w:rPr>
      </w:pP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c) Os produtos disponibilizados precisam atender aos padrões de qualidade exigidos pela legislação vigente;</w:t>
      </w:r>
    </w:p>
    <w:p>
      <w:pPr>
        <w:pStyle w:val="Normal"/>
        <w:spacing w:lineRule="auto" w:line="360" w:before="0" w:after="0"/>
        <w:jc w:val="both"/>
        <w:rPr>
          <w:rFonts w:ascii="Arial" w:hAnsi="Arial"/>
          <w:b w:val="false"/>
          <w:bCs w:val="false"/>
        </w:rPr>
      </w:pPr>
      <w:r>
        <w:rPr>
          <w:rFonts w:eastAsia="Arial" w:cs="Arial" w:ascii="Arial" w:hAnsi="Arial"/>
          <w:b w:val="false"/>
          <w:bCs w:val="false"/>
          <w:sz w:val="24"/>
          <w:szCs w:val="24"/>
          <w:shd w:fill="auto" w:val="clear"/>
        </w:rPr>
        <w:t>d) A empresa fornecedora deve seguir práticas sustentáveis, como a reciclagem das embalagens, contribuindo para a preservação do meio ambiente.</w:t>
      </w:r>
    </w:p>
    <w:p>
      <w:pPr>
        <w:pStyle w:val="Normal"/>
        <w:spacing w:lineRule="auto" w:line="360" w:before="0" w:after="0"/>
        <w:jc w:val="both"/>
        <w:rPr>
          <w:rFonts w:ascii="Arial" w:hAnsi="Arial"/>
          <w:b w:val="false"/>
          <w:bCs w:val="false"/>
        </w:rPr>
      </w:pPr>
      <w:r>
        <w:rPr>
          <w:rFonts w:eastAsia="Arial" w:cs="Arial" w:ascii="Arial" w:hAnsi="Arial"/>
          <w:b w:val="false"/>
          <w:bCs w:val="false"/>
          <w:sz w:val="24"/>
          <w:szCs w:val="24"/>
          <w:shd w:fill="auto" w:val="clear"/>
        </w:rPr>
        <w:t xml:space="preserve">e) Fornecer os itens </w:t>
      </w:r>
      <w:r>
        <w:rPr>
          <w:rFonts w:eastAsia="Arial" w:cs="Arial" w:ascii="Arial" w:hAnsi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em perfeito estado de uso e consumo com </w:t>
      </w:r>
      <w:r>
        <w:rPr>
          <w:rFonts w:eastAsia="Arial" w:cs="Arial" w:ascii="Arial" w:hAnsi="Arial"/>
          <w:b w:val="false"/>
          <w:bCs w:val="false"/>
          <w:sz w:val="24"/>
          <w:szCs w:val="24"/>
          <w:shd w:fill="auto" w:val="clear"/>
        </w:rPr>
        <w:t xml:space="preserve">qualidade </w:t>
      </w:r>
      <w:r>
        <w:rPr>
          <w:rFonts w:eastAsia="Arial" w:cs="Arial" w:ascii="Arial" w:hAnsi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preservada</w:t>
      </w:r>
      <w:r>
        <w:rPr>
          <w:rFonts w:eastAsia="Arial" w:cs="Arial" w:ascii="Arial" w:hAnsi="Arial"/>
          <w:b w:val="false"/>
          <w:bCs w:val="false"/>
          <w:sz w:val="24"/>
          <w:szCs w:val="24"/>
          <w:shd w:fill="auto" w:val="clear"/>
        </w:rPr>
        <w:t>;</w:t>
      </w:r>
    </w:p>
    <w:p>
      <w:pPr>
        <w:pStyle w:val="Normal"/>
        <w:spacing w:lineRule="auto" w:line="360" w:before="0" w:after="0"/>
        <w:jc w:val="both"/>
        <w:rPr>
          <w:rFonts w:ascii="Arial" w:hAnsi="Arial"/>
          <w:b w:val="false"/>
          <w:bCs w:val="false"/>
        </w:rPr>
      </w:pPr>
      <w:r>
        <w:rPr>
          <w:rFonts w:eastAsia="Arial" w:cs="Arial" w:ascii="Arial" w:hAnsi="Arial"/>
          <w:b w:val="false"/>
          <w:bCs w:val="false"/>
          <w:sz w:val="24"/>
          <w:szCs w:val="24"/>
          <w:shd w:fill="auto" w:val="clear"/>
        </w:rPr>
        <w:t xml:space="preserve">f) responsabilizar-se pela logística de entrega e montagem no local determinado </w:t>
      </w:r>
      <w:r>
        <w:rPr>
          <w:rFonts w:eastAsia="Arial" w:cs="Arial" w:ascii="Arial" w:hAnsi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hi-IN"/>
        </w:rPr>
        <w:t>no item 02</w:t>
      </w:r>
      <w:r>
        <w:rPr>
          <w:rFonts w:eastAsia="Arial" w:cs="Arial" w:ascii="Arial" w:hAnsi="Arial"/>
          <w:b w:val="false"/>
          <w:bCs w:val="false"/>
          <w:sz w:val="24"/>
          <w:szCs w:val="24"/>
          <w:shd w:fill="auto" w:val="clear"/>
        </w:rPr>
        <w:t>;</w:t>
      </w:r>
    </w:p>
    <w:p>
      <w:pPr>
        <w:pStyle w:val="Normal"/>
        <w:spacing w:lineRule="auto" w:line="240" w:before="0" w:after="0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Arial" w:hAnsi="Arial"/>
          <w:b/>
          <w:bCs/>
        </w:rPr>
      </w:pPr>
      <w:r>
        <w:rPr>
          <w:rFonts w:ascii="Arial" w:hAnsi="Arial"/>
          <w:b/>
          <w:bCs/>
          <w:sz w:val="24"/>
          <w:szCs w:val="24"/>
          <w:shd w:fill="auto" w:val="clear"/>
        </w:rPr>
        <w:tab/>
        <w:t>4</w:t>
      </w:r>
      <w:r>
        <w:rPr>
          <w:rFonts w:ascii="Arial" w:hAnsi="Arial"/>
          <w:b/>
          <w:bCs/>
          <w:sz w:val="24"/>
          <w:szCs w:val="24"/>
          <w:shd w:fill="auto" w:val="clear"/>
        </w:rPr>
        <w:t>.2. Da qualificação técnica.</w:t>
      </w:r>
    </w:p>
    <w:p>
      <w:pPr>
        <w:pStyle w:val="Normal"/>
        <w:spacing w:lineRule="auto" w:line="360" w:before="0" w:after="0"/>
        <w:jc w:val="both"/>
        <w:rPr>
          <w:rFonts w:ascii="Arial" w:hAnsi="Arial"/>
          <w:b w:val="false"/>
          <w:bCs w:val="false"/>
        </w:rPr>
      </w:pPr>
      <w:r>
        <w:rPr>
          <w:rFonts w:ascii="Arial" w:hAnsi="Arial"/>
          <w:b w:val="false"/>
          <w:bCs w:val="false"/>
          <w:sz w:val="24"/>
          <w:szCs w:val="24"/>
          <w:shd w:fill="auto" w:val="clear"/>
        </w:rPr>
        <w:t>4</w:t>
      </w:r>
      <w:r>
        <w:rPr>
          <w:rFonts w:ascii="Arial" w:hAnsi="Arial"/>
          <w:b w:val="false"/>
          <w:bCs w:val="false"/>
          <w:sz w:val="24"/>
          <w:szCs w:val="24"/>
          <w:shd w:fill="auto" w:val="clear"/>
        </w:rPr>
        <w:t xml:space="preserve">.2.1. </w:t>
      </w:r>
      <w:r>
        <w:rPr>
          <w:rFonts w:eastAsia="Times New Roman" w:cs="Times New Roman" w:ascii="Arial" w:hAnsi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A empresa fornecedora deve ter suas atividades correspondentes ao objeto da aquisição. </w:t>
      </w:r>
    </w:p>
    <w:p>
      <w:pPr>
        <w:pStyle w:val="Normal"/>
        <w:spacing w:lineRule="auto" w:line="360" w:before="0" w:after="0"/>
        <w:jc w:val="both"/>
        <w:rPr>
          <w:rFonts w:ascii="Arial" w:hAnsi="Arial"/>
          <w:b w:val="false"/>
          <w:bCs w:val="false"/>
        </w:rPr>
      </w:pPr>
      <w:r>
        <w:rPr>
          <w:rFonts w:eastAsia="Arial" w:cs="Arial" w:ascii="Arial" w:hAnsi="Arial"/>
          <w:b w:val="false"/>
          <w:bCs w:val="false"/>
          <w:sz w:val="24"/>
          <w:szCs w:val="24"/>
          <w:shd w:fill="auto" w:val="clear"/>
        </w:rPr>
        <w:t>4</w:t>
      </w:r>
      <w:r>
        <w:rPr>
          <w:rFonts w:eastAsia="Arial" w:cs="Arial" w:ascii="Arial" w:hAnsi="Arial"/>
          <w:b w:val="false"/>
          <w:bCs w:val="false"/>
          <w:sz w:val="24"/>
          <w:szCs w:val="24"/>
          <w:shd w:fill="auto" w:val="clear"/>
        </w:rPr>
        <w:t>.2.2. Registro da pessoa jurídica (CONTRATADA) nos órgãos competentes e Conselho Regional da classe, se for o caso.</w:t>
      </w:r>
    </w:p>
    <w:p>
      <w:pPr>
        <w:pStyle w:val="Nivel1"/>
        <w:spacing w:lineRule="auto" w:line="360" w:before="0" w:after="0"/>
        <w:ind w:hanging="0" w:left="0" w:right="0"/>
        <w:rPr>
          <w:rFonts w:ascii="Arial" w:hAnsi="Arial" w:cs="Arial"/>
          <w:b/>
          <w:u w:val="single"/>
        </w:rPr>
      </w:pPr>
      <w:r>
        <w:rPr>
          <w:rFonts w:cs="Times New Roman"/>
          <w:sz w:val="24"/>
          <w:szCs w:val="24"/>
        </w:rPr>
        <w:t xml:space="preserve">5. MODELO DE EXECUÇÃO CONTRATUAL </w:t>
      </w:r>
    </w:p>
    <w:p>
      <w:pPr>
        <w:pStyle w:val="ListParagraph"/>
        <w:tabs>
          <w:tab w:val="clear" w:pos="708"/>
          <w:tab w:val="left" w:pos="0" w:leader="none"/>
          <w:tab w:val="left" w:pos="450" w:leader="none"/>
        </w:tabs>
        <w:spacing w:lineRule="auto" w:line="360"/>
        <w:ind w:firstLine="57" w:left="-57" w:right="0"/>
        <w:jc w:val="both"/>
        <w:rPr>
          <w:rFonts w:ascii="Arial" w:hAnsi="Arial" w:cs="Arial"/>
          <w:b/>
          <w:u w:val="single"/>
        </w:rPr>
      </w:pPr>
      <w:r>
        <w:rPr>
          <w:rFonts w:cs="Times New Roman" w:ascii="Arial" w:hAnsi="Arial"/>
          <w:b w:val="false"/>
          <w:bCs w:val="false"/>
          <w:iCs/>
          <w:sz w:val="24"/>
          <w:szCs w:val="24"/>
        </w:rPr>
        <w:t>5.1.</w:t>
      </w:r>
      <w:r>
        <w:rPr>
          <w:rFonts w:cs="Times New Roman" w:ascii="Arial" w:hAnsi="Arial"/>
          <w:bCs/>
          <w:iCs/>
          <w:sz w:val="24"/>
          <w:szCs w:val="24"/>
        </w:rPr>
        <w:t xml:space="preserve"> O prazo </w:t>
      </w:r>
      <w:r>
        <w:rPr>
          <w:rFonts w:eastAsia="Times New Roman" w:cs="Times New Roman" w:ascii="Arial" w:hAnsi="Arial"/>
          <w:bCs/>
          <w:iCs/>
          <w:sz w:val="24"/>
          <w:szCs w:val="24"/>
        </w:rPr>
        <w:t>de entrega do objeto</w:t>
      </w:r>
      <w:r>
        <w:rPr>
          <w:rFonts w:cs="Times New Roman" w:ascii="Arial" w:hAnsi="Arial"/>
          <w:bCs/>
          <w:iCs/>
          <w:sz w:val="24"/>
          <w:szCs w:val="24"/>
        </w:rPr>
        <w:t xml:space="preserve"> será estipulado em </w:t>
      </w:r>
      <w:r>
        <w:rPr>
          <w:rFonts w:cs="Arial" w:ascii="Arial" w:hAnsi="Arial"/>
          <w:b w:val="false"/>
          <w:bCs w:val="false"/>
          <w:iCs/>
          <w:sz w:val="24"/>
          <w:szCs w:val="24"/>
        </w:rPr>
        <w:t xml:space="preserve">por meio de entrega única </w:t>
      </w:r>
      <w:r>
        <w:rPr>
          <w:rFonts w:eastAsia="Times New Roman" w:cs="Arial" w:ascii="Arial" w:hAnsi="Arial"/>
          <w:b w:val="false"/>
          <w:bCs w:val="false"/>
          <w:iCs/>
          <w:color w:val="auto"/>
          <w:kern w:val="0"/>
          <w:sz w:val="24"/>
          <w:szCs w:val="24"/>
          <w:lang w:val="pt-BR" w:eastAsia="zh-CN" w:bidi="ar-SA"/>
        </w:rPr>
        <w:t>do</w:t>
      </w:r>
      <w:r>
        <w:rPr>
          <w:rFonts w:cs="Arial" w:ascii="Arial" w:hAnsi="Arial"/>
          <w:b w:val="false"/>
          <w:bCs w:val="false"/>
          <w:iCs/>
          <w:sz w:val="24"/>
          <w:szCs w:val="24"/>
        </w:rPr>
        <w:t xml:space="preserve"> item, sendo necessária a emissão de autorização de fornecimento </w:t>
      </w:r>
      <w:r>
        <w:rPr>
          <w:rFonts w:eastAsia="Times New Roman" w:cs="Arial" w:ascii="Arial" w:hAnsi="Arial"/>
          <w:b w:val="false"/>
          <w:bCs w:val="false"/>
          <w:iCs/>
          <w:color w:val="auto"/>
          <w:kern w:val="0"/>
          <w:sz w:val="24"/>
          <w:szCs w:val="24"/>
          <w:lang w:val="pt-BR" w:eastAsia="zh-CN" w:bidi="ar-SA"/>
        </w:rPr>
        <w:t xml:space="preserve">dos itens concedendo o prazo de até 15 (quinze) dias corridos para a entrega, dispensada a formalização de contrato, sendo este substituído pela emissão da nota de empenho </w:t>
      </w:r>
      <w:r>
        <w:rPr>
          <w:rFonts w:eastAsia="Times New Roman" w:cs="Times New Roman" w:ascii="Arial" w:hAnsi="Arial"/>
          <w:b w:val="false"/>
          <w:bCs/>
          <w:iCs/>
          <w:color w:val="auto"/>
          <w:kern w:val="0"/>
          <w:sz w:val="24"/>
          <w:szCs w:val="24"/>
          <w:lang w:val="pt-BR" w:eastAsia="zh-CN" w:bidi="ar-SA"/>
        </w:rPr>
        <w:t>.</w:t>
      </w:r>
    </w:p>
    <w:p>
      <w:pPr>
        <w:pStyle w:val="Normal"/>
        <w:tabs>
          <w:tab w:val="clear" w:pos="708"/>
          <w:tab w:val="left" w:pos="0" w:leader="none"/>
        </w:tabs>
        <w:spacing w:lineRule="auto" w:line="360"/>
        <w:ind w:hanging="0" w:left="0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5.2.</w:t>
      </w:r>
      <w:r>
        <w:rPr>
          <w:rFonts w:ascii="Arial" w:hAnsi="Arial"/>
        </w:rPr>
        <w:t xml:space="preserve"> </w:t>
      </w:r>
      <w:r>
        <w:rPr>
          <w:rFonts w:eastAsia="Times New Roman" w:cs="Times New Roman" w:ascii="Arial" w:hAnsi="Arial"/>
        </w:rPr>
        <w:t>O objeto</w:t>
      </w:r>
      <w:r>
        <w:rPr>
          <w:rFonts w:ascii="Arial" w:hAnsi="Arial"/>
        </w:rPr>
        <w:t xml:space="preserve"> deverá ser entregue no seguinte endereço:</w:t>
      </w:r>
    </w:p>
    <w:p>
      <w:pPr>
        <w:pStyle w:val="Normal"/>
        <w:tabs>
          <w:tab w:val="clear" w:pos="708"/>
          <w:tab w:val="left" w:pos="0" w:leader="none"/>
        </w:tabs>
        <w:spacing w:lineRule="auto" w:line="360"/>
        <w:ind w:hanging="0" w:left="0" w:right="0"/>
        <w:jc w:val="both"/>
        <w:rPr>
          <w:rFonts w:ascii="Arial" w:hAnsi="Arial"/>
          <w:b w:val="false"/>
          <w:bCs w:val="false"/>
        </w:rPr>
      </w:pPr>
      <w:r>
        <w:rPr>
          <w:rFonts w:eastAsia="Times New Roman" w:cs="Times New Roman" w:ascii="Arial" w:hAnsi="Arial"/>
          <w:b w:val="false"/>
          <w:bCs w:val="false"/>
          <w:color w:val="auto"/>
          <w:kern w:val="0"/>
          <w:sz w:val="24"/>
          <w:szCs w:val="20"/>
          <w:lang w:val="pt-BR" w:eastAsia="pt-BR" w:bidi="ar-SA"/>
        </w:rPr>
        <w:t xml:space="preserve">- </w:t>
      </w:r>
      <w:r>
        <w:rPr>
          <w:rFonts w:eastAsia="Times New Roman" w:cs="Arial" w:ascii="Arial" w:hAnsi="Arial"/>
          <w:b w:val="false"/>
          <w:bCs w:val="false"/>
          <w:color w:val="auto"/>
          <w:kern w:val="0"/>
          <w:sz w:val="24"/>
          <w:szCs w:val="24"/>
          <w:lang w:val="pt-BR" w:eastAsia="pt-BR" w:bidi="ar-SA"/>
        </w:rPr>
        <w:t>Abrigo Luz</w:t>
      </w:r>
    </w:p>
    <w:p>
      <w:pPr>
        <w:pStyle w:val="Normal"/>
        <w:spacing w:lineRule="auto" w:line="360" w:before="0" w:after="0"/>
        <w:jc w:val="both"/>
        <w:rPr>
          <w:rFonts w:ascii="Arial" w:hAnsi="Arial"/>
          <w:b w:val="false"/>
          <w:bCs w:val="false"/>
        </w:rPr>
      </w:pPr>
      <w:r>
        <w:rPr>
          <w:rFonts w:eastAsia="Times New Roman" w:cs="Arial" w:ascii="Arial" w:hAnsi="Arial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>Rua Egisto Darós,  189 – Bairro Populares</w:t>
      </w:r>
    </w:p>
    <w:p>
      <w:pPr>
        <w:pStyle w:val="Normal"/>
        <w:spacing w:lineRule="auto" w:line="360" w:before="0" w:after="0"/>
        <w:jc w:val="both"/>
        <w:rPr>
          <w:rFonts w:ascii="Arial" w:hAnsi="Arial"/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São Gabriel da Palha – ES</w:t>
      </w:r>
    </w:p>
    <w:p>
      <w:pPr>
        <w:pStyle w:val="Normal"/>
        <w:spacing w:lineRule="auto" w:line="360" w:before="0" w:after="0"/>
        <w:jc w:val="both"/>
        <w:rPr>
          <w:rFonts w:ascii="Arial" w:hAnsi="Arial"/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CEP 29.7800-000</w:t>
      </w:r>
    </w:p>
    <w:p>
      <w:pPr>
        <w:pStyle w:val="Normal"/>
        <w:tabs>
          <w:tab w:val="clear" w:pos="708"/>
          <w:tab w:val="left" w:pos="508" w:leader="none"/>
        </w:tabs>
        <w:spacing w:lineRule="auto" w:line="360"/>
        <w:ind w:hanging="0" w:left="0" w:right="0"/>
        <w:jc w:val="both"/>
        <w:rPr>
          <w:rFonts w:ascii="Arial" w:hAnsi="Arial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 </w:t>
      </w:r>
      <w:r>
        <w:rPr>
          <w:rFonts w:ascii="Arial" w:hAnsi="Arial"/>
          <w:b w:val="false"/>
          <w:bCs w:val="false"/>
        </w:rPr>
        <w:t>5.2.1</w:t>
      </w:r>
      <w:r>
        <w:rPr>
          <w:rFonts w:cs="Arial" w:ascii="Arial" w:hAnsi="Arial"/>
          <w:b w:val="false"/>
          <w:bCs w:val="false"/>
          <w:sz w:val="24"/>
          <w:szCs w:val="24"/>
        </w:rPr>
        <w:t>. CONTATO</w:t>
      </w:r>
    </w:p>
    <w:p>
      <w:pPr>
        <w:pStyle w:val="Normal"/>
        <w:spacing w:lineRule="auto" w:line="360" w:before="0" w:after="0"/>
        <w:jc w:val="both"/>
        <w:rPr>
          <w:rFonts w:ascii="Arial" w:hAnsi="Arial"/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 xml:space="preserve">Tel: 27 </w:t>
      </w:r>
      <w:r>
        <w:rPr>
          <w:rFonts w:eastAsia="Times New Roman" w:cs="Arial" w:ascii="Arial" w:hAnsi="Arial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>99975-6571</w:t>
      </w:r>
    </w:p>
    <w:p>
      <w:pPr>
        <w:pStyle w:val="Normal"/>
        <w:spacing w:lineRule="auto" w:line="360" w:before="0" w:after="0"/>
        <w:jc w:val="both"/>
        <w:rPr/>
      </w:pPr>
      <w:r>
        <w:rPr>
          <w:rFonts w:cs="Arial" w:ascii="Arial" w:hAnsi="Arial"/>
          <w:b w:val="false"/>
          <w:bCs w:val="false"/>
          <w:sz w:val="24"/>
          <w:szCs w:val="24"/>
        </w:rPr>
        <w:t xml:space="preserve">Email: </w:t>
      </w:r>
      <w:hyperlink r:id="rId2">
        <w:r>
          <w:rPr>
            <w:rStyle w:val="Hyperlink"/>
            <w:rFonts w:eastAsia="Times New Roman" w:cs="Arial" w:ascii="Arial" w:hAnsi="Arial"/>
            <w:b w:val="false"/>
            <w:bCs w:val="false"/>
            <w:color w:val="auto"/>
            <w:kern w:val="0"/>
            <w:sz w:val="24"/>
            <w:szCs w:val="24"/>
            <w:lang w:val="pt-BR" w:eastAsia="zh-CN" w:bidi="ar-SA"/>
          </w:rPr>
          <w:t>assistenciasgp@gmail.com</w:t>
        </w:r>
      </w:hyperlink>
      <w:r>
        <w:rPr>
          <w:rFonts w:eastAsia="Times New Roman" w:cs="Arial" w:ascii="Arial" w:hAnsi="Arial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 xml:space="preserve"> </w:t>
      </w:r>
    </w:p>
    <w:p>
      <w:pPr>
        <w:pStyle w:val="Normal"/>
        <w:spacing w:lineRule="auto" w:line="360" w:before="0" w:after="0"/>
        <w:jc w:val="both"/>
        <w:rPr>
          <w:rFonts w:ascii="Arial" w:hAnsi="Arial"/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 xml:space="preserve">Responsável: Secretaria Municipal de </w:t>
      </w:r>
      <w:r>
        <w:rPr>
          <w:rFonts w:eastAsia="Times New Roman" w:cs="Arial" w:ascii="Arial" w:hAnsi="Arial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>Assistência, Desenvolvimento Social e Família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</w:t>
      </w:r>
    </w:p>
    <w:p>
      <w:pPr>
        <w:pStyle w:val="Nivel2"/>
        <w:spacing w:lineRule="auto" w:line="360" w:before="0" w:after="0"/>
        <w:ind w:hanging="0" w:left="0" w:right="0"/>
        <w:rPr>
          <w:rFonts w:ascii="Arial" w:hAnsi="Arial" w:cs="Arial"/>
          <w:b/>
          <w:u w:val="single"/>
        </w:rPr>
      </w:pPr>
      <w:r>
        <w:rPr>
          <w:rFonts w:cs="Times New Roman"/>
          <w:b w:val="false"/>
          <w:bCs w:val="false"/>
          <w:iCs/>
          <w:color w:val="auto"/>
          <w:sz w:val="24"/>
          <w:szCs w:val="24"/>
        </w:rPr>
        <w:t>5.3</w:t>
      </w:r>
      <w:r>
        <w:rPr>
          <w:rFonts w:cs="Times New Roman"/>
          <w:b/>
          <w:bCs/>
          <w:iCs/>
          <w:color w:val="auto"/>
          <w:sz w:val="24"/>
          <w:szCs w:val="24"/>
        </w:rPr>
        <w:t xml:space="preserve">. </w:t>
      </w:r>
      <w:r>
        <w:rPr>
          <w:rFonts w:cs="Times New Roman"/>
          <w:bCs/>
          <w:iCs/>
          <w:color w:val="auto"/>
          <w:sz w:val="24"/>
          <w:szCs w:val="24"/>
        </w:rPr>
        <w:t xml:space="preserve">Caso não seja possível a entrega na data assinalada, a empresa deverá comunicar as razões respectivas com pelo menos 02 (dois) dias de antecedência para que qualquer pleito de prorrogação de prazo seja analisado, ressalvadas situações de caso fortuito e </w:t>
      </w:r>
      <w:r>
        <w:rPr>
          <w:rFonts w:cs="Times New Roman"/>
          <w:iCs/>
          <w:color w:val="auto"/>
          <w:sz w:val="24"/>
          <w:szCs w:val="24"/>
        </w:rPr>
        <w:t>força</w:t>
      </w:r>
      <w:r>
        <w:rPr>
          <w:rFonts w:cs="Times New Roman"/>
          <w:bCs/>
          <w:iCs/>
          <w:color w:val="auto"/>
          <w:sz w:val="24"/>
          <w:szCs w:val="24"/>
        </w:rPr>
        <w:t xml:space="preserve"> maior.</w:t>
      </w:r>
    </w:p>
    <w:p>
      <w:pPr>
        <w:pStyle w:val="Nivel2"/>
        <w:spacing w:lineRule="auto" w:line="360" w:before="0" w:after="0"/>
        <w:ind w:hanging="0" w:left="0" w:right="0"/>
        <w:rPr>
          <w:rFonts w:ascii="Arial" w:hAnsi="Arial" w:cs="Arial"/>
          <w:b/>
          <w:u w:val="single"/>
        </w:rPr>
      </w:pPr>
      <w:r>
        <w:rPr>
          <w:rFonts w:cs="Times New Roman"/>
          <w:b w:val="false"/>
          <w:bCs w:val="false"/>
          <w:color w:val="auto"/>
          <w:sz w:val="24"/>
          <w:szCs w:val="24"/>
        </w:rPr>
        <w:t>5.4.</w:t>
      </w:r>
      <w:r>
        <w:rPr>
          <w:rFonts w:cs="Times New Roman"/>
          <w:bCs/>
          <w:color w:val="auto"/>
          <w:sz w:val="24"/>
          <w:szCs w:val="24"/>
        </w:rPr>
        <w:t xml:space="preserve"> O item será recebido pelo(a) responsável  do Almoxarifado Central juntamente com um servidor da Secretaria requisitante para acompanhamento e fiscalização e posterior verificação de sua conformidade com as especificações constantes neste Termo de Referência e na proposta.</w:t>
      </w:r>
    </w:p>
    <w:p>
      <w:pPr>
        <w:pStyle w:val="ListParagraph"/>
        <w:spacing w:lineRule="auto" w:line="360"/>
        <w:ind w:hanging="0" w:left="0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  <w:sz w:val="24"/>
          <w:szCs w:val="24"/>
        </w:rPr>
        <w:t>5.5.</w:t>
      </w:r>
      <w:r>
        <w:rPr>
          <w:rFonts w:ascii="Arial" w:hAnsi="Arial"/>
          <w:sz w:val="24"/>
          <w:szCs w:val="24"/>
        </w:rPr>
        <w:t xml:space="preserve"> A conferência </w:t>
      </w:r>
      <w:r>
        <w:rPr>
          <w:rFonts w:eastAsia="Times New Roman" w:cs="Times New Roman" w:ascii="Arial" w:hAnsi="Arial"/>
          <w:sz w:val="24"/>
          <w:szCs w:val="24"/>
        </w:rPr>
        <w:t>dos itens</w:t>
      </w:r>
      <w:r>
        <w:rPr>
          <w:rFonts w:ascii="Arial" w:hAnsi="Arial"/>
          <w:sz w:val="24"/>
          <w:szCs w:val="24"/>
        </w:rPr>
        <w:t xml:space="preserve"> deverá ser acompanhada por um servidor </w:t>
      </w:r>
      <w:r>
        <w:rPr>
          <w:rFonts w:eastAsia="Times New Roman" w:cs="Times New Roman" w:ascii="Arial" w:hAnsi="Arial"/>
          <w:sz w:val="24"/>
          <w:szCs w:val="24"/>
        </w:rPr>
        <w:t>da secretaria requisitante</w:t>
      </w:r>
      <w:r>
        <w:rPr>
          <w:rFonts w:ascii="Arial" w:hAnsi="Arial"/>
          <w:sz w:val="24"/>
          <w:szCs w:val="24"/>
        </w:rPr>
        <w:t>, a fim de zelar pela qualidade e quantidade dos itens a serem adquiridos.</w:t>
      </w:r>
    </w:p>
    <w:p>
      <w:pPr>
        <w:pStyle w:val="Nivel2"/>
        <w:spacing w:lineRule="auto" w:line="360" w:before="0" w:after="0"/>
        <w:ind w:hanging="0" w:left="0" w:right="0"/>
        <w:rPr>
          <w:rFonts w:ascii="Arial" w:hAnsi="Arial" w:cs="Arial"/>
          <w:b/>
          <w:u w:val="single"/>
        </w:rPr>
      </w:pPr>
      <w:r>
        <w:rPr>
          <w:rFonts w:cs="Times New Roman"/>
          <w:b w:val="false"/>
          <w:bCs w:val="false"/>
          <w:color w:val="auto"/>
          <w:sz w:val="24"/>
          <w:szCs w:val="24"/>
        </w:rPr>
        <w:t>5.6.</w:t>
      </w:r>
      <w:r>
        <w:rPr>
          <w:rFonts w:cs="Times New Roman"/>
          <w:bCs/>
          <w:color w:val="auto"/>
          <w:sz w:val="24"/>
          <w:szCs w:val="24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demandante,  às suas custas.</w:t>
      </w:r>
    </w:p>
    <w:p>
      <w:pPr>
        <w:pStyle w:val="ListParagraph"/>
        <w:spacing w:lineRule="auto" w:line="360"/>
        <w:ind w:hanging="0" w:left="0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  <w:sz w:val="24"/>
          <w:szCs w:val="24"/>
        </w:rPr>
        <w:t>5.7.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 xml:space="preserve">O recebimento provisório ou definitivo não excluirá a responsabilidade </w:t>
      </w:r>
      <w:r>
        <w:rPr>
          <w:rFonts w:eastAsia="Times New Roman" w:cs="Times New Roman" w:ascii="Arial" w:hAnsi="Arial"/>
          <w:sz w:val="24"/>
          <w:szCs w:val="24"/>
        </w:rPr>
        <w:t>da contratada pelos prejuízos resultantes da incorreta execução do contrato.</w:t>
      </w:r>
    </w:p>
    <w:p>
      <w:pPr>
        <w:pStyle w:val="Nivel2"/>
        <w:spacing w:lineRule="auto" w:line="360" w:before="0" w:after="0"/>
        <w:ind w:hanging="0" w:left="0" w:right="0"/>
        <w:rPr>
          <w:rFonts w:ascii="Arial" w:hAnsi="Arial" w:cs="Arial"/>
          <w:b/>
          <w:u w:val="single"/>
        </w:rPr>
      </w:pPr>
      <w:r>
        <w:rPr>
          <w:rFonts w:cs="Times New Roman"/>
          <w:b w:val="false"/>
          <w:bCs w:val="false"/>
          <w:iCs/>
          <w:color w:val="auto"/>
          <w:sz w:val="24"/>
          <w:szCs w:val="24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>
      <w:pPr>
        <w:pStyle w:val="Nivel2"/>
        <w:spacing w:lineRule="auto" w:line="240" w:before="0" w:after="0"/>
        <w:ind w:hanging="0" w:left="0" w:right="0"/>
        <w:rPr>
          <w:rFonts w:ascii="Arial" w:hAnsi="Arial" w:cs="Arial"/>
          <w:b/>
          <w:u w:val="single"/>
        </w:rPr>
      </w:pPr>
      <w:r>
        <w:rPr>
          <w:rFonts w:cs="Arial"/>
          <w:b/>
          <w:u w:val="single"/>
        </w:rPr>
      </w:r>
    </w:p>
    <w:p>
      <w:pPr>
        <w:pStyle w:val="Nivel1"/>
        <w:spacing w:lineRule="auto" w:line="360" w:before="0" w:after="0"/>
        <w:ind w:hanging="0" w:left="0" w:right="0"/>
        <w:rPr>
          <w:rFonts w:ascii="Arial" w:hAnsi="Arial" w:cs="Arial"/>
          <w:b/>
          <w:u w:val="single"/>
        </w:rPr>
      </w:pPr>
      <w:r>
        <w:rPr>
          <w:rFonts w:cs="Times New Roman"/>
          <w:sz w:val="24"/>
          <w:szCs w:val="24"/>
        </w:rPr>
        <w:t xml:space="preserve">6. MODELO DE GESTÃO DO CONTRATO 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/>
          <w:bCs/>
        </w:rPr>
        <w:tab/>
        <w:t>6.1. ROTINAS DE FISCALIZAÇÃO CONTRATUAL</w:t>
      </w:r>
    </w:p>
    <w:p>
      <w:pPr>
        <w:pStyle w:val="Nivel2"/>
        <w:spacing w:lineRule="auto" w:line="360" w:before="0" w:after="0"/>
        <w:ind w:hanging="0" w:left="0" w:right="0"/>
        <w:rPr>
          <w:rFonts w:ascii="Arial" w:hAnsi="Arial" w:cs="Arial"/>
          <w:b/>
          <w:u w:val="single"/>
        </w:rPr>
      </w:pPr>
      <w:r>
        <w:rPr>
          <w:b w:val="false"/>
          <w:bCs w:val="false"/>
          <w:sz w:val="24"/>
          <w:szCs w:val="24"/>
        </w:rPr>
        <w:t xml:space="preserve">6.1.1. </w:t>
      </w:r>
      <w:r>
        <w:rPr>
          <w:rFonts w:cs="Times New Roman"/>
          <w:sz w:val="24"/>
          <w:szCs w:val="24"/>
        </w:rPr>
        <w:t>O contrato será substituído pela nota de empenho e autorização de fornecimento/execução.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6.1.2.</w:t>
      </w:r>
      <w:r>
        <w:rPr>
          <w:rFonts w:ascii="Arial" w:hAnsi="Arial"/>
        </w:rPr>
        <w:t xml:space="preserve"> A entrega </w:t>
      </w:r>
      <w:r>
        <w:rPr>
          <w:rFonts w:eastAsia="Times New Roman" w:cs="Times New Roman" w:ascii="Arial" w:hAnsi="Arial"/>
        </w:rPr>
        <w:t>do item</w:t>
      </w:r>
      <w:r>
        <w:rPr>
          <w:rFonts w:ascii="Arial" w:hAnsi="Arial"/>
        </w:rPr>
        <w:t xml:space="preserve"> deverá ser acompanhada por um servidor </w:t>
      </w:r>
      <w:r>
        <w:rPr>
          <w:rFonts w:eastAsia="Times New Roman" w:cs="Times New Roman" w:ascii="Arial" w:hAnsi="Arial"/>
          <w:szCs w:val="20"/>
        </w:rPr>
        <w:t>da secretaria requisitante</w:t>
      </w:r>
      <w:r>
        <w:rPr>
          <w:rFonts w:ascii="Arial" w:hAnsi="Arial"/>
        </w:rPr>
        <w:t>, a fim de zelar pela qualidade e quantidade dos itens a serem adquiridos.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6.1.3.</w:t>
      </w:r>
      <w:r>
        <w:rPr>
          <w:rFonts w:ascii="Arial" w:hAnsi="Arial"/>
        </w:rPr>
        <w:t xml:space="preserve">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6.1.4.</w:t>
      </w:r>
      <w:r>
        <w:rPr>
          <w:rFonts w:ascii="Arial" w:hAnsi="Arial"/>
        </w:rPr>
        <w:t xml:space="preserve"> Somente o contratado será responsável pelos encargos trabalhistas, previdenciários, fiscais e comerciais resultantes da execução dos serviços.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6.1.5.</w:t>
      </w:r>
      <w:r>
        <w:rPr>
          <w:rFonts w:ascii="Arial" w:hAnsi="Arial"/>
        </w:rPr>
        <w:t xml:space="preserve"> A inadimplência do contratado em relação aos encargos trabalhistas, fiscais e comerciais não transferirá à Administração a responsabilidade pelo seu pagamento e não poderá onerar o objeto do contrato.</w:t>
      </w:r>
    </w:p>
    <w:p>
      <w:pPr>
        <w:pStyle w:val="Nivel2"/>
        <w:spacing w:lineRule="auto" w:line="360" w:before="0" w:after="0"/>
        <w:rPr>
          <w:rFonts w:ascii="Arial" w:hAnsi="Arial" w:cs="Arial"/>
          <w:b/>
          <w:u w:val="single"/>
        </w:rPr>
      </w:pPr>
      <w:r>
        <w:rPr>
          <w:rFonts w:cs="Times New Roman"/>
          <w:b w:val="false"/>
          <w:bCs w:val="false"/>
          <w:sz w:val="24"/>
          <w:szCs w:val="24"/>
        </w:rPr>
        <w:t>6.1.6.</w:t>
      </w:r>
      <w:r>
        <w:rPr>
          <w:rFonts w:cs="Times New Roman"/>
          <w:sz w:val="24"/>
          <w:szCs w:val="24"/>
        </w:rPr>
        <w:t xml:space="preserve">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Fazenda  Municipal do domicílio ou sede do licitante ou outra equivalente na forma da Lei que deverão ser validadas pela secretaria requerente ou fiscal de contrato.</w:t>
      </w:r>
    </w:p>
    <w:p>
      <w:pPr>
        <w:pStyle w:val="Nivel2"/>
        <w:spacing w:lineRule="auto" w:line="240" w:before="0" w:after="0"/>
        <w:rPr>
          <w:rFonts w:cs="Times New Roman"/>
          <w:iCs/>
          <w:color w:val="auto"/>
          <w:sz w:val="24"/>
          <w:szCs w:val="24"/>
        </w:rPr>
      </w:pPr>
      <w:r>
        <w:rPr>
          <w:rFonts w:cs="Times New Roman"/>
          <w:iCs/>
          <w:color w:val="auto"/>
          <w:sz w:val="24"/>
          <w:szCs w:val="24"/>
        </w:rPr>
      </w:r>
    </w:p>
    <w:p>
      <w:pPr>
        <w:pStyle w:val="Nivel1"/>
        <w:spacing w:lineRule="auto" w:line="360" w:before="0" w:after="0"/>
        <w:ind w:hanging="0" w:left="0" w:right="0"/>
        <w:rPr>
          <w:rFonts w:ascii="Arial" w:hAnsi="Arial" w:cs="Arial"/>
          <w:b/>
          <w:u w:val="single"/>
        </w:rPr>
      </w:pPr>
      <w:r>
        <w:rPr>
          <w:rFonts w:cs="Times New Roman"/>
          <w:iCs/>
          <w:color w:val="auto"/>
          <w:sz w:val="24"/>
          <w:szCs w:val="24"/>
        </w:rPr>
        <w:t xml:space="preserve">7. FORMA E CRITÉRIOS DE SELEÇÃO DO FORNECEDOR 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7.1.</w:t>
      </w:r>
      <w:r>
        <w:rPr>
          <w:rFonts w:ascii="Arial" w:hAnsi="Arial"/>
        </w:rPr>
        <w:t xml:space="preserve"> O fornecedor será selecionado por meio da realização de procedimento de licitação, </w:t>
      </w:r>
      <w:r>
        <w:rPr>
          <w:rFonts w:ascii="Arial" w:hAnsi="Arial"/>
          <w:iCs/>
        </w:rPr>
        <w:t xml:space="preserve">que culminará com a seleção da proposta </w:t>
      </w:r>
      <w:r>
        <w:rPr>
          <w:rFonts w:ascii="Arial" w:hAnsi="Arial"/>
          <w:iCs/>
          <w:shd w:fill="auto" w:val="clear"/>
        </w:rPr>
        <w:t>de menor preço por item.</w:t>
      </w:r>
    </w:p>
    <w:p>
      <w:pPr>
        <w:pStyle w:val="Normal"/>
        <w:spacing w:lineRule="auto" w:line="240"/>
        <w:ind w:hanging="0" w:left="0" w:right="0"/>
        <w:jc w:val="both"/>
        <w:rPr/>
      </w:pPr>
      <w:r>
        <w:rPr/>
      </w:r>
    </w:p>
    <w:p>
      <w:pPr>
        <w:pStyle w:val="Normal"/>
        <w:spacing w:lineRule="auto" w:line="360"/>
        <w:ind w:hanging="0" w:left="0" w:right="0"/>
        <w:jc w:val="both"/>
        <w:rPr>
          <w:b/>
          <w:bCs/>
          <w:highlight w:val="none"/>
          <w:shd w:fill="auto" w:val="clear"/>
        </w:rPr>
      </w:pPr>
      <w:r>
        <w:rPr>
          <w:rFonts w:ascii="Arial" w:hAnsi="Arial"/>
          <w:b/>
          <w:bCs/>
          <w:iCs/>
          <w:shd w:fill="auto" w:val="clear"/>
        </w:rPr>
        <w:t>8. DAS SANÇÕES</w:t>
      </w:r>
    </w:p>
    <w:p>
      <w:pPr>
        <w:pStyle w:val="Normal"/>
        <w:spacing w:lineRule="auto" w:line="36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>8.1.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36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>8.1.1. Dar causa à inexecução parcial do contrato.</w:t>
      </w:r>
    </w:p>
    <w:p>
      <w:pPr>
        <w:pStyle w:val="Normal"/>
        <w:spacing w:lineRule="auto" w:line="36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>8.1.2.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36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>8.1.3. Dar causa à inexecução total;</w:t>
      </w:r>
    </w:p>
    <w:p>
      <w:pPr>
        <w:pStyle w:val="Normal"/>
        <w:spacing w:lineRule="auto" w:line="36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>8.1.4. Deixar de entregar a documentação exigida para o certame.</w:t>
      </w:r>
    </w:p>
    <w:p>
      <w:pPr>
        <w:pStyle w:val="Normal"/>
        <w:spacing w:lineRule="auto" w:line="36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>8.1.5. Não manter a proposta, salvo em decorrência de fato superveniente devidamente justificado.</w:t>
      </w:r>
    </w:p>
    <w:p>
      <w:pPr>
        <w:pStyle w:val="Normal"/>
        <w:spacing w:lineRule="auto" w:line="36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 xml:space="preserve">8.1.6.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36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>8.1.7. Ensejar o retardamento da execução ou da entrega do objeto sem motivo justificado,</w:t>
      </w:r>
    </w:p>
    <w:p>
      <w:pPr>
        <w:pStyle w:val="Normal"/>
        <w:spacing w:lineRule="auto" w:line="36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>8.1.8. Apresentar declaração ou documentação falsa exigida para o certame ou prestar declaração falsa durante a dispensa/licitação eletrônica ou a execução do objeto.</w:t>
      </w:r>
    </w:p>
    <w:p>
      <w:pPr>
        <w:pStyle w:val="Normal"/>
        <w:spacing w:lineRule="auto" w:line="36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>8.1.9. Fraudar a dispensa/licitação eletrônica ou praticar ato fraudulento na execução do objeto.</w:t>
      </w:r>
    </w:p>
    <w:p>
      <w:pPr>
        <w:pStyle w:val="Normal"/>
        <w:spacing w:lineRule="auto" w:line="36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>8.1.10. Comportar-se de modo inidôneo ou cometer fraude de qualquer natureza.</w:t>
      </w:r>
    </w:p>
    <w:p>
      <w:pPr>
        <w:pStyle w:val="Normal"/>
        <w:spacing w:lineRule="auto" w:line="36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>8.1.10.1. Considera-se comportamento inidôneo, entre outros, a declaração falsa quanto às condições de participação, quanto ao enquadramento como ME/EPP ou o conluio entre os fornecedores, em qualquer momento da dispensa/licitação, mesmo após o encerramento da fase de lances.</w:t>
      </w:r>
    </w:p>
    <w:p>
      <w:pPr>
        <w:pStyle w:val="Normal"/>
        <w:spacing w:lineRule="auto" w:line="36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>8.1.11. Praticar atos ilícitos com vistas a frustrar os objetivos deste certame.</w:t>
      </w:r>
    </w:p>
    <w:p>
      <w:pPr>
        <w:pStyle w:val="Normal"/>
        <w:spacing w:lineRule="auto" w:line="36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>8.1.12. Praticar ato lesivo previsto no art. 5º da Lei nº 12.846, de 1º de agosto de 2013.</w:t>
      </w:r>
    </w:p>
    <w:p>
      <w:pPr>
        <w:pStyle w:val="Normal"/>
        <w:spacing w:lineRule="auto" w:line="36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>8.2. O fornecedor que cometer qualquer das infrações discriminadas nos subitens anteriores ficará sujeito, sem prejuízo da responsabilidade civil e criminal, às seguintes sanções: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 xml:space="preserve">         </w:t>
      </w:r>
      <w:r>
        <w:rPr>
          <w:rFonts w:ascii="Arial" w:hAnsi="Arial"/>
          <w:iCs/>
          <w:shd w:fill="auto" w:val="clear"/>
        </w:rPr>
        <w:t>a) Advertência pela falta do subitem 8.1.1 deste Termo de Referência, quando não se justificar a imposição de penalidade mais grave.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-57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 xml:space="preserve">            </w:t>
      </w:r>
      <w:r>
        <w:rPr>
          <w:rFonts w:ascii="Arial" w:hAnsi="Arial"/>
          <w:iCs/>
          <w:shd w:fill="auto" w:val="clear"/>
        </w:rPr>
        <w:t xml:space="preserve">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8.1.1 a 8.1.7 e 20% (vinte por cento), se cometidas infrações previstas nos itens 8.1.8 a 8.1.12; 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 xml:space="preserve">                    </w:t>
      </w:r>
      <w:r>
        <w:rPr>
          <w:rFonts w:ascii="Arial" w:hAnsi="Arial"/>
          <w:iCs/>
          <w:shd w:fill="auto" w:val="clear"/>
        </w:rPr>
        <w:t>b.1) O valor da multa poderá ser descontado das faturas devidas à CONTRATADA;</w:t>
      </w:r>
    </w:p>
    <w:p>
      <w:pPr>
        <w:pStyle w:val="Normal"/>
        <w:spacing w:lineRule="auto" w:line="36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 xml:space="preserve">                     </w:t>
      </w:r>
      <w:r>
        <w:rPr>
          <w:rFonts w:ascii="Arial" w:hAnsi="Arial"/>
          <w:iCs/>
          <w:shd w:fill="auto" w:val="clear"/>
        </w:rPr>
        <w:t xml:space="preserve">b.2) A multa pode ser aplicada isoladamente ou juntamente com as penalidades definidas nos itens “c” e “d” abaixo: 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 xml:space="preserve">         </w:t>
      </w:r>
      <w:r>
        <w:rPr>
          <w:rFonts w:ascii="Arial" w:hAnsi="Arial"/>
          <w:iCs/>
          <w:shd w:fill="auto" w:val="clear"/>
        </w:rPr>
        <w:t>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 xml:space="preserve">         </w:t>
      </w:r>
      <w:r>
        <w:rPr>
          <w:rFonts w:ascii="Arial" w:hAnsi="Arial"/>
          <w:iCs/>
          <w:shd w:fill="auto" w:val="clear"/>
        </w:rPr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>
      <w:pPr>
        <w:pStyle w:val="Normal"/>
        <w:spacing w:lineRule="auto" w:line="36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>8.3. Na aplicação das sanções serão considerados:</w:t>
      </w:r>
    </w:p>
    <w:p>
      <w:pPr>
        <w:pStyle w:val="Normal"/>
        <w:spacing w:lineRule="auto" w:line="36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>8.3.1. A natureza e a gravidade da infração cometida.</w:t>
      </w:r>
    </w:p>
    <w:p>
      <w:pPr>
        <w:pStyle w:val="Normal"/>
        <w:spacing w:lineRule="auto" w:line="36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>8.3.2. As peculiaridades do caso concreto.</w:t>
      </w:r>
    </w:p>
    <w:p>
      <w:pPr>
        <w:pStyle w:val="Normal"/>
        <w:spacing w:lineRule="auto" w:line="36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>8.3.3. As circunstâncias agravantes ou atenuantes.</w:t>
      </w:r>
    </w:p>
    <w:p>
      <w:pPr>
        <w:pStyle w:val="Normal"/>
        <w:spacing w:lineRule="auto" w:line="36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>8.3.4. Os danos que dela provierem para a Administração Pública.</w:t>
      </w:r>
    </w:p>
    <w:p>
      <w:pPr>
        <w:pStyle w:val="Normal"/>
        <w:spacing w:lineRule="auto" w:line="36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>8.3.5. A implantação ou o aperfeiçoamento de programa de integridade, conforme normas e orientações dos órgãos de controle.</w:t>
      </w:r>
    </w:p>
    <w:p>
      <w:pPr>
        <w:pStyle w:val="Normal"/>
        <w:spacing w:lineRule="auto" w:line="36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>8.4.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360"/>
        <w:ind w:hanging="0" w:left="0" w:right="0"/>
        <w:jc w:val="both"/>
        <w:rPr>
          <w:highlight w:val="none"/>
          <w:shd w:fill="auto" w:val="clear"/>
        </w:rPr>
      </w:pPr>
      <w:r>
        <w:rPr>
          <w:rFonts w:ascii="Arial" w:hAnsi="Arial"/>
          <w:iCs/>
          <w:shd w:fill="auto" w:val="clear"/>
        </w:rPr>
        <w:t>8.5.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40"/>
        <w:ind w:hanging="0" w:left="0" w:right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/>
          <w:bCs/>
        </w:rPr>
        <w:t>9. CRITÉRIOS DE PAGAMENTO</w:t>
      </w:r>
    </w:p>
    <w:p>
      <w:pPr>
        <w:pStyle w:val="Normal"/>
        <w:spacing w:lineRule="auto" w:line="360"/>
        <w:ind w:hanging="0" w:left="-22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  <w:lang w:eastAsia="en-US"/>
        </w:rPr>
        <w:t>9.1</w:t>
      </w:r>
      <w:r>
        <w:rPr>
          <w:rFonts w:ascii="Arial" w:hAnsi="Arial"/>
          <w:b/>
          <w:bCs/>
          <w:lang w:eastAsia="en-US"/>
        </w:rPr>
        <w:t>.</w:t>
      </w:r>
      <w:r>
        <w:rPr>
          <w:rFonts w:ascii="Arial" w:hAnsi="Arial"/>
          <w:lang w:eastAsia="en-US"/>
        </w:rPr>
        <w:t xml:space="preserve"> Recebida a Nota Fiscal ou documento de cobrança equivalente, correrá o prazo de </w:t>
      </w:r>
      <w:r>
        <w:rPr>
          <w:rFonts w:eastAsia="Times New Roman" w:cs="Times New Roman" w:ascii="Arial" w:hAnsi="Arial"/>
          <w:lang w:eastAsia="en-US"/>
        </w:rPr>
        <w:t>(30) trinta</w:t>
      </w:r>
      <w:r>
        <w:rPr>
          <w:rFonts w:ascii="Arial" w:hAnsi="Arial"/>
          <w:lang w:eastAsia="en-US"/>
        </w:rPr>
        <w:t xml:space="preserve"> dias úteis para fins de liquidação, na forma desta seção, prorrogáveis por igual período.</w:t>
      </w:r>
    </w:p>
    <w:p>
      <w:pPr>
        <w:pStyle w:val="Normal"/>
        <w:spacing w:lineRule="auto" w:line="360"/>
        <w:ind w:hanging="0" w:left="-22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9.2.</w:t>
      </w:r>
      <w:r>
        <w:rPr>
          <w:rFonts w:ascii="Arial" w:hAnsi="Arial"/>
        </w:rPr>
        <w:t xml:space="preserve"> O prazo de que trata o item anterior será reduzido à metade, mantendo-se a possibilidade de prorrogação, no caso de contratações decorrentes de despesas cujos valores não ultrapassem o limite de que trata o </w:t>
      </w:r>
      <w:r>
        <w:fldChar w:fldCharType="begin"/>
      </w:r>
      <w:r>
        <w:rPr>
          <w:rStyle w:val="ListLabel28"/>
          <w:u w:val="none"/>
          <w:rFonts w:ascii="Arial" w:hAnsi="Arial"/>
          <w:color w:val="000000"/>
        </w:rPr>
        <w:instrText xml:space="preserve"> HYPERLINK "http://www.planalto.gov.br/ccivil_03/_ato2019-2022/2021/lei/L14133.htm" \l "art75"</w:instrText>
      </w:r>
      <w:r>
        <w:rPr>
          <w:rStyle w:val="ListLabel28"/>
          <w:u w:val="none"/>
          <w:rFonts w:ascii="Arial" w:hAnsi="Arial"/>
          <w:color w:val="000000"/>
        </w:rPr>
        <w:fldChar w:fldCharType="separate"/>
      </w:r>
      <w:r>
        <w:rPr>
          <w:rStyle w:val="ListLabel28"/>
          <w:rFonts w:ascii="Arial" w:hAnsi="Arial"/>
          <w:color w:val="000000"/>
          <w:u w:val="none"/>
        </w:rPr>
        <w:t xml:space="preserve">inciso II do art. 75 da Lei nº 14.133, de </w:t>
      </w:r>
      <w:r>
        <w:rPr>
          <w:rStyle w:val="ListLabel28"/>
          <w:u w:val="none"/>
          <w:rFonts w:ascii="Arial" w:hAnsi="Arial"/>
          <w:color w:val="000000"/>
        </w:rPr>
        <w:fldChar w:fldCharType="end"/>
      </w:r>
      <w:r>
        <w:rPr>
          <w:rFonts w:ascii="Arial" w:hAnsi="Arial"/>
          <w:b w:val="false"/>
          <w:bCs w:val="false"/>
          <w:color w:val="000000"/>
          <w:u w:val="none"/>
        </w:rPr>
        <w:t>2021.</w:t>
      </w:r>
    </w:p>
    <w:p>
      <w:pPr>
        <w:pStyle w:val="Normal"/>
        <w:spacing w:lineRule="auto" w:line="360"/>
        <w:ind w:hanging="0" w:left="-22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 xml:space="preserve">9.3. </w:t>
      </w:r>
      <w:r>
        <w:rPr>
          <w:rFonts w:ascii="Arial" w:hAnsi="Arial"/>
        </w:rPr>
        <w:t xml:space="preserve">Para fins de liquidação, o setor competente deverá verificar se a nota fiscal ou instrumento de cobrança equivalente apresentado expressa os elementos necessários e essenciais do documento, tais como: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</w:rPr>
        <w:t>- O prazo de validade;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</w:rPr>
        <w:t xml:space="preserve">- A data da emissão;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</w:rPr>
        <w:t xml:space="preserve">- Os dados do contrato e do órgão contratante;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</w:rPr>
        <w:t xml:space="preserve">- O período respectivo de execução do contrato;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</w:rPr>
        <w:t xml:space="preserve">- O valor a pagar; e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- Eventual destaque do valor de retenções tributárias cabíveis.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-22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9.4. Havendo erro na apresentação da nota fiscal ou instrumento de cobrança equ</w:t>
      </w:r>
      <w:r>
        <w:rPr>
          <w:rFonts w:ascii="Arial" w:hAnsi="Arial"/>
        </w:rPr>
        <w:t>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360"/>
        <w:ind w:hanging="0" w:left="-22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9.5.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lang w:eastAsia="en-US"/>
        </w:rPr>
        <w:t xml:space="preserve"> nota fiscal ou instrumento de cobrança equivalente deverá ser obrigatoriamente </w:t>
      </w:r>
      <w:r>
        <w:rPr>
          <w:rFonts w:ascii="Arial" w:hAnsi="Arial"/>
          <w:b w:val="false"/>
          <w:bCs w:val="false"/>
          <w:lang w:eastAsia="en-US"/>
        </w:rPr>
        <w:t>acompanhado da comprovação da regularidade fiscal</w:t>
      </w:r>
      <w:r>
        <w:rPr>
          <w:rStyle w:val="Hyperlink"/>
          <w:rFonts w:ascii="Arial" w:hAnsi="Arial"/>
          <w:b w:val="false"/>
          <w:bCs w:val="false"/>
          <w:lang w:eastAsia="en-US"/>
        </w:rPr>
        <w:t>.</w:t>
      </w:r>
    </w:p>
    <w:p>
      <w:pPr>
        <w:pStyle w:val="Normal"/>
        <w:spacing w:lineRule="auto" w:line="360"/>
        <w:ind w:hanging="0" w:left="-22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 xml:space="preserve">9.6. </w:t>
      </w:r>
      <w:r>
        <w:rPr>
          <w:rFonts w:ascii="Arial" w:hAnsi="Arial"/>
        </w:rPr>
        <w:t>O pagamento será efetuado no prazo de até 30 (trinta) dias úteis contados da finalização da liquidação da despesa.</w:t>
      </w:r>
    </w:p>
    <w:p>
      <w:pPr>
        <w:pStyle w:val="Normal"/>
        <w:spacing w:lineRule="auto" w:line="360"/>
        <w:ind w:hanging="0" w:left="-22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9.7.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</w:rPr>
        <w:t>O pagamento será realizado por meio de ordem bancária, para crédito em banco, agência e conta corrente indicados pelo contratado.</w:t>
      </w:r>
    </w:p>
    <w:p>
      <w:pPr>
        <w:pStyle w:val="Normal"/>
        <w:spacing w:lineRule="auto" w:line="360"/>
        <w:ind w:hanging="0" w:left="-22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9.8.</w:t>
      </w:r>
      <w:r>
        <w:rPr>
          <w:rFonts w:ascii="Arial" w:hAnsi="Arial"/>
        </w:rPr>
        <w:t xml:space="preserve"> Será considerada data do pagamento o dia em que constar como emitida a ordem </w:t>
      </w:r>
      <w:r>
        <w:rPr>
          <w:rFonts w:ascii="Arial" w:hAnsi="Arial"/>
          <w:b w:val="false"/>
          <w:bCs w:val="false"/>
        </w:rPr>
        <w:t>bancária para pagamento.</w:t>
      </w:r>
    </w:p>
    <w:p>
      <w:pPr>
        <w:pStyle w:val="Normal"/>
        <w:spacing w:lineRule="auto" w:line="360"/>
        <w:ind w:hanging="0" w:left="-79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 xml:space="preserve"> </w:t>
      </w:r>
      <w:r>
        <w:rPr>
          <w:rFonts w:ascii="Arial" w:hAnsi="Arial"/>
          <w:b w:val="false"/>
          <w:bCs w:val="false"/>
        </w:rPr>
        <w:t>9.9.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</w:rPr>
        <w:t>Quando do pagamento, será efetuada a retenção tributária prevista na legislação aplicável.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0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  <w:lang w:eastAsia="en-US"/>
        </w:rPr>
        <w:t>9.10.</w:t>
      </w:r>
      <w:r>
        <w:rPr>
          <w:rFonts w:ascii="Arial" w:hAnsi="Arial"/>
          <w:lang w:eastAsia="en-US"/>
        </w:rPr>
        <w:t xml:space="preserve"> O contratado regularmente optante pelo Simples Nacional, nos termos da </w:t>
      </w:r>
      <w:hyperlink r:id="rId3">
        <w:r>
          <w:rPr>
            <w:rStyle w:val="ListLabel29"/>
            <w:rFonts w:ascii="Arial" w:hAnsi="Arial"/>
            <w:u w:val="none"/>
            <w:lang w:eastAsia="en-US"/>
          </w:rPr>
          <w:t>Lei Complementar nº 123, de 2006</w:t>
        </w:r>
      </w:hyperlink>
      <w:r>
        <w:rPr>
          <w:rFonts w:ascii="Arial" w:hAnsi="Arial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0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lang w:eastAsia="en-US"/>
        </w:rPr>
        <w:t>9.11.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>
      <w:pPr>
        <w:pStyle w:val="Normal"/>
        <w:spacing w:lineRule="auto" w:line="24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Arial" w:hAnsi="Arial"/>
        </w:rPr>
      </w:pPr>
      <w:r>
        <w:rPr>
          <w:rFonts w:cs="Arial" w:ascii="Arial" w:hAnsi="Arial"/>
          <w:b/>
          <w:sz w:val="24"/>
          <w:szCs w:val="24"/>
        </w:rPr>
        <w:t>10. RESULTADOS PRETENDIDOS COM A CONTRATAÇÃO</w:t>
      </w:r>
    </w:p>
    <w:p>
      <w:pPr>
        <w:pStyle w:val="Normal"/>
        <w:spacing w:lineRule="auto" w:line="360" w:before="0" w:after="0"/>
        <w:jc w:val="both"/>
        <w:rPr>
          <w:rFonts w:ascii="Arial" w:hAnsi="Arial"/>
        </w:rPr>
      </w:pPr>
      <w:r>
        <w:rPr>
          <w:rFonts w:cs="Arial" w:ascii="Arial" w:hAnsi="Arial"/>
          <w:sz w:val="24"/>
          <w:szCs w:val="24"/>
        </w:rPr>
        <w:t xml:space="preserve">10.1. </w:t>
      </w:r>
      <w:r>
        <w:rPr>
          <w:rFonts w:eastAsia="Times New Roman" w:cs="Arial" w:ascii="Arial" w:hAnsi="Arial"/>
          <w:color w:val="000000"/>
          <w:kern w:val="0"/>
          <w:sz w:val="24"/>
          <w:szCs w:val="24"/>
          <w:shd w:fill="auto" w:val="clear"/>
          <w:lang w:val="pt-BR" w:eastAsia="zh-CN" w:bidi="ar-SA"/>
        </w:rPr>
        <w:t>Os resultados pretendidos com a contratação tem como finalidade garantir o desenvolvimento de atividades pedagógicas junto aos acolhidos no abrigo.</w:t>
      </w:r>
    </w:p>
    <w:p>
      <w:pPr>
        <w:pStyle w:val="Normal"/>
        <w:spacing w:lineRule="auto" w:line="360" w:before="0" w:after="0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360" w:before="0" w:after="0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Arial" w:hAnsi="Arial"/>
        </w:rPr>
      </w:pPr>
      <w:r>
        <w:rPr>
          <w:rFonts w:cs="Arial" w:ascii="Arial" w:hAnsi="Arial"/>
          <w:b/>
          <w:sz w:val="24"/>
          <w:szCs w:val="24"/>
        </w:rPr>
        <w:t>11.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360" w:before="0" w:after="0"/>
        <w:ind w:hanging="0" w:left="0" w:right="0"/>
        <w:jc w:val="both"/>
        <w:rPr>
          <w:rFonts w:ascii="Arial" w:hAnsi="Arial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11.1</w:t>
      </w:r>
      <w:r>
        <w:rPr>
          <w:rFonts w:cs="Arial" w:ascii="Arial" w:hAnsi="Arial"/>
          <w:b/>
          <w:bCs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eastAsia="Times New Roman" w:cs="Arial" w:ascii="Arial" w:hAnsi="Arial"/>
          <w:color w:val="auto"/>
          <w:kern w:val="0"/>
          <w:sz w:val="24"/>
          <w:szCs w:val="24"/>
          <w:lang w:val="pt-BR" w:eastAsia="zh-CN" w:bidi="ar-SA"/>
        </w:rPr>
        <w:t xml:space="preserve">Não se </w:t>
      </w:r>
      <w:r>
        <w:rPr>
          <w:rFonts w:cs="Arial" w:ascii="Arial" w:hAnsi="Arial"/>
          <w:sz w:val="24"/>
          <w:szCs w:val="24"/>
        </w:rPr>
        <w:t xml:space="preserve">verifica contratações correlatas ou interdependentes </w:t>
      </w:r>
      <w:r>
        <w:rPr>
          <w:rFonts w:eastAsia="Times New Roman" w:cs="Arial" w:ascii="Arial" w:hAnsi="Arial"/>
          <w:color w:val="auto"/>
          <w:kern w:val="0"/>
          <w:sz w:val="24"/>
          <w:szCs w:val="24"/>
          <w:lang w:val="pt-BR" w:eastAsia="zh-CN" w:bidi="ar-SA"/>
        </w:rPr>
        <w:t>no período</w:t>
      </w:r>
      <w:r>
        <w:rPr>
          <w:rFonts w:cs="Arial" w:ascii="Arial" w:hAnsi="Arial"/>
          <w:sz w:val="24"/>
          <w:szCs w:val="24"/>
        </w:rPr>
        <w:t>.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b w:val="false"/>
          <w:bCs w:val="false"/>
          <w:sz w:val="24"/>
          <w:szCs w:val="24"/>
          <w:shd w:fill="auto" w:val="clear"/>
        </w:rPr>
      </w:pPr>
      <w:r>
        <w:rPr>
          <w:rFonts w:cs="Arial" w:ascii="Arial" w:hAnsi="Arial"/>
          <w:b w:val="false"/>
          <w:bCs w:val="false"/>
          <w:sz w:val="24"/>
          <w:szCs w:val="24"/>
          <w:shd w:fill="auto" w:val="clear"/>
        </w:rPr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Arial" w:hAnsi="Arial"/>
        </w:rPr>
      </w:pPr>
      <w:r>
        <w:rPr>
          <w:rFonts w:cs="Arial" w:ascii="Arial" w:hAnsi="Arial"/>
          <w:b/>
          <w:sz w:val="24"/>
          <w:szCs w:val="24"/>
          <w:shd w:fill="auto" w:val="clear"/>
        </w:rPr>
        <w:t>12. POSSÍVEIS IMPACTOS AMBIENTAIS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0"/>
        <w:jc w:val="both"/>
        <w:rPr>
          <w:rFonts w:ascii="Arial" w:hAnsi="Arial"/>
        </w:rPr>
      </w:pPr>
      <w:r>
        <w:rPr>
          <w:rFonts w:ascii="Arial" w:hAnsi="Arial"/>
          <w:b w:val="false"/>
          <w:bCs w:val="false"/>
          <w:sz w:val="24"/>
          <w:szCs w:val="24"/>
          <w:shd w:fill="auto" w:val="clear"/>
        </w:rPr>
        <w:t>12.1.</w:t>
      </w:r>
      <w:r>
        <w:rPr>
          <w:rFonts w:ascii="Arial" w:hAnsi="Arial"/>
          <w:b/>
          <w:bCs/>
          <w:sz w:val="24"/>
          <w:szCs w:val="24"/>
          <w:shd w:fill="auto" w:val="clear"/>
        </w:rPr>
        <w:t xml:space="preserve">  </w:t>
      </w: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Não há previsão de impacto ambiental para a contratação em tela.</w:t>
      </w:r>
    </w:p>
    <w:p>
      <w:pPr>
        <w:pStyle w:val="Normal"/>
        <w:spacing w:lineRule="auto" w:line="240" w:before="0"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Arial" w:hAnsi="Arial"/>
        </w:rPr>
      </w:pPr>
      <w:r>
        <w:rPr>
          <w:rFonts w:cs="Arial" w:ascii="Arial" w:hAnsi="Arial"/>
          <w:b/>
          <w:sz w:val="24"/>
          <w:szCs w:val="24"/>
        </w:rPr>
        <w:t>13. DECLARAÇÃO E JUSTIFICATIVA DA VIABILIDADE</w:t>
      </w:r>
    </w:p>
    <w:p>
      <w:pPr>
        <w:pStyle w:val="Normal"/>
        <w:spacing w:lineRule="auto" w:line="360" w:before="0" w:after="0"/>
        <w:jc w:val="both"/>
        <w:rPr>
          <w:rFonts w:ascii="Arial" w:hAnsi="Arial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13.1. Neste sentido, a equipe de planejamento deste ETP e de acordo com a autoridade deste</w:t>
      </w:r>
      <w:r>
        <w:rPr>
          <w:rFonts w:cs="Arial" w:ascii="Arial" w:hAnsi="Arial"/>
          <w:sz w:val="24"/>
          <w:szCs w:val="24"/>
        </w:rPr>
        <w:t xml:space="preserve"> requerente, declara viável esta contratação, com base nos elementos apresentados neste documento.</w:t>
      </w:r>
    </w:p>
    <w:p>
      <w:pPr>
        <w:pStyle w:val="Normal"/>
        <w:spacing w:lineRule="auto" w:line="24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ivel1"/>
        <w:spacing w:lineRule="auto" w:line="360" w:before="0" w:after="0"/>
        <w:ind w:hanging="0" w:left="57" w:right="0"/>
        <w:rPr>
          <w:rFonts w:ascii="Arial" w:hAnsi="Arial" w:cs="Arial"/>
          <w:b/>
          <w:u w:val="single"/>
        </w:rPr>
      </w:pPr>
      <w:r>
        <w:rPr>
          <w:rFonts w:cs="Times New Roman"/>
          <w:sz w:val="24"/>
          <w:szCs w:val="24"/>
        </w:rPr>
        <w:t xml:space="preserve">14. ADEQUAÇÃO ORÇAMENTÁRIA </w:t>
      </w:r>
    </w:p>
    <w:p>
      <w:pPr>
        <w:pStyle w:val="ListParagraph"/>
        <w:spacing w:lineRule="auto" w:line="360"/>
        <w:ind w:hanging="0" w:left="57" w:right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14.1. </w:t>
      </w:r>
      <w:r>
        <w:rPr>
          <w:rFonts w:ascii="Arial" w:hAnsi="Arial"/>
          <w:sz w:val="24"/>
          <w:szCs w:val="24"/>
        </w:rPr>
        <w:t>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>
      <w:pPr>
        <w:pStyle w:val="ListParagraph"/>
        <w:spacing w:lineRule="auto" w:line="240"/>
        <w:ind w:hanging="0" w:left="57" w:right="0"/>
        <w:jc w:val="both"/>
        <w:rPr/>
      </w:pPr>
      <w:r>
        <w:rPr/>
      </w:r>
    </w:p>
    <w:p>
      <w:pPr>
        <w:pStyle w:val="Normal"/>
        <w:numPr>
          <w:ilvl w:val="0"/>
          <w:numId w:val="2"/>
        </w:numPr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</w:rPr>
        <w:t>FICHA – FONTE: 0</w:t>
      </w:r>
      <w:r>
        <w:rPr>
          <w:rFonts w:eastAsia="Times New Roman" w:cs="Times New Roman" w:ascii="Arial" w:hAnsi="Arial"/>
        </w:rPr>
        <w:t>0</w:t>
      </w:r>
      <w:r>
        <w:rPr>
          <w:rFonts w:eastAsia="Times New Roman" w:cs="Times New Roman" w:ascii="Arial" w:hAnsi="Arial"/>
        </w:rPr>
        <w:t>390</w:t>
      </w:r>
      <w:r>
        <w:rPr>
          <w:rFonts w:eastAsia="Times New Roman" w:cs="Times New Roman" w:ascii="Arial" w:hAnsi="Arial"/>
        </w:rPr>
        <w:t xml:space="preserve"> – </w:t>
      </w:r>
      <w:r>
        <w:rPr>
          <w:rFonts w:eastAsia="Times New Roman" w:cs="Times New Roman" w:ascii="Arial" w:hAnsi="Arial"/>
          <w:szCs w:val="20"/>
        </w:rPr>
        <w:t>1</w:t>
      </w:r>
      <w:r>
        <w:rPr>
          <w:rFonts w:eastAsia="Times New Roman" w:cs="Times New Roman" w:ascii="Arial" w:hAnsi="Arial"/>
          <w:szCs w:val="20"/>
        </w:rPr>
        <w:t>5</w:t>
      </w:r>
      <w:r>
        <w:rPr>
          <w:rFonts w:eastAsia="Times New Roman" w:cs="Times New Roman" w:ascii="Arial" w:hAnsi="Arial"/>
          <w:szCs w:val="20"/>
        </w:rPr>
        <w:t>000000000 - no valor de R$</w:t>
      </w:r>
      <w:r>
        <w:rPr>
          <w:rFonts w:eastAsia="Times New Roman" w:cs="Times New Roman" w:ascii="Arial" w:hAnsi="Arial"/>
          <w:b w:val="false"/>
          <w:bCs w:val="false"/>
          <w:szCs w:val="20"/>
          <w:u w:val="none"/>
        </w:rPr>
        <w:t xml:space="preserve"> </w:t>
      </w:r>
      <w:r>
        <w:rPr>
          <w:rFonts w:eastAsia="Times New Roman" w:cs="Times New Roman" w:ascii="Arial" w:hAnsi="Arial"/>
          <w:b w:val="false"/>
          <w:bCs w:val="false"/>
          <w:szCs w:val="20"/>
          <w:u w:val="none"/>
        </w:rPr>
        <w:t>13.113,14 (treze mil cento e treze reais e quatorze</w:t>
      </w:r>
      <w:r>
        <w:rPr>
          <w:rFonts w:eastAsia="Times New Roman" w:cs="Arial" w:ascii="Arial" w:hAnsi="Arial"/>
          <w:b w:val="false"/>
          <w:bCs w:val="false"/>
          <w:szCs w:val="20"/>
          <w:u w:val="none"/>
        </w:rPr>
        <w:t xml:space="preserve"> centavos).</w:t>
      </w:r>
    </w:p>
    <w:p>
      <w:pPr>
        <w:pStyle w:val="Normal"/>
        <w:spacing w:lineRule="auto" w:line="240"/>
        <w:jc w:val="both"/>
        <w:rPr>
          <w:rFonts w:ascii="Arial" w:hAnsi="Arial" w:cs="Arial"/>
          <w:b w:val="false"/>
          <w:bCs w:val="false"/>
          <w:u w:val="none"/>
        </w:rPr>
      </w:pPr>
      <w:r>
        <w:rPr>
          <w:rFonts w:cs="Arial" w:ascii="Arial" w:hAnsi="Arial"/>
          <w:b w:val="false"/>
          <w:bCs w:val="false"/>
          <w:u w:val="none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bCs/>
          <w:color w:val="000000"/>
        </w:rPr>
        <w:t>15. DOS RESPONSÁVEIS PELA ELABORAÇÃO DO TERMO DE REFERÊNCIA</w:t>
      </w:r>
    </w:p>
    <w:p>
      <w:pPr>
        <w:pStyle w:val="Normal"/>
        <w:spacing w:lineRule="auto" w:line="360"/>
        <w:jc w:val="both"/>
        <w:rPr>
          <w:rFonts w:ascii="Arial" w:hAnsi="Arial" w:cs="Arial"/>
          <w:b w:val="false"/>
          <w:bCs w:val="false"/>
          <w:color w:val="000000"/>
        </w:rPr>
      </w:pPr>
      <w:r>
        <w:rPr>
          <w:rFonts w:cs="Arial" w:ascii="Arial" w:hAnsi="Arial"/>
          <w:b w:val="false"/>
          <w:bCs w:val="false"/>
          <w:color w:val="000000"/>
        </w:rPr>
        <w:t>15.1. A compilação d</w:t>
      </w: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4"/>
          <w:szCs w:val="20"/>
          <w:lang w:val="pt-BR" w:eastAsia="pt-BR" w:bidi="ar-SA"/>
        </w:rPr>
        <w:t>e parte das</w:t>
      </w:r>
      <w:r>
        <w:rPr>
          <w:rFonts w:cs="Arial" w:ascii="Arial" w:hAnsi="Arial"/>
          <w:b w:val="false"/>
          <w:bCs w:val="false"/>
          <w:color w:val="000000"/>
        </w:rPr>
        <w:t xml:space="preserve"> informações mencionados </w:t>
      </w: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4"/>
          <w:szCs w:val="20"/>
          <w:lang w:val="pt-BR" w:eastAsia="pt-BR" w:bidi="ar-SA"/>
        </w:rPr>
        <w:t>na</w:t>
      </w:r>
      <w:r>
        <w:rPr>
          <w:rFonts w:cs="Arial" w:ascii="Arial" w:hAnsi="Arial"/>
          <w:b w:val="false"/>
          <w:bCs w:val="false"/>
          <w:color w:val="000000"/>
        </w:rPr>
        <w:t xml:space="preserve"> elaboração deste Termo de Referência foram estruturadas através do ETP – Estudo Técnico Preliminar elaborado pela secretaria requisitante.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jc w:val="right"/>
        <w:rPr>
          <w:rFonts w:ascii="Arial" w:hAnsi="Arial" w:cs="Arial"/>
          <w:b/>
          <w:u w:val="single"/>
        </w:rPr>
      </w:pPr>
      <w:r>
        <w:rPr>
          <w:rFonts w:ascii="Arial" w:hAnsi="Arial"/>
        </w:rPr>
        <w:t xml:space="preserve">São Gabriel da Palha, </w:t>
      </w:r>
      <w:r>
        <w:rPr>
          <w:rFonts w:ascii="Arial" w:hAnsi="Arial"/>
        </w:rPr>
        <w:t>19</w:t>
      </w:r>
      <w:r>
        <w:rPr>
          <w:rFonts w:ascii="Arial" w:hAnsi="Arial"/>
          <w:color w:val="000000"/>
          <w:shd w:fill="auto" w:val="clear"/>
        </w:rPr>
        <w:t xml:space="preserve"> de </w:t>
      </w:r>
      <w:r>
        <w:rPr>
          <w:rFonts w:ascii="Arial" w:hAnsi="Arial"/>
          <w:color w:val="000000"/>
          <w:shd w:fill="auto" w:val="clear"/>
        </w:rPr>
        <w:t>març</w:t>
      </w:r>
      <w:r>
        <w:rPr>
          <w:rFonts w:ascii="Arial" w:hAnsi="Arial"/>
          <w:color w:val="000000"/>
          <w:shd w:fill="auto" w:val="clear"/>
        </w:rPr>
        <w:t>o de 202</w:t>
      </w:r>
      <w:r>
        <w:rPr>
          <w:rFonts w:ascii="Arial" w:hAnsi="Arial"/>
          <w:color w:val="000000"/>
          <w:shd w:fill="auto" w:val="clear"/>
        </w:rPr>
        <w:t>5</w:t>
      </w:r>
    </w:p>
    <w:p>
      <w:pPr>
        <w:pStyle w:val="Normal"/>
        <w:spacing w:lineRule="auto" w:line="360"/>
        <w:jc w:val="right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jc w:val="right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bCs/>
        </w:rPr>
        <w:t>Elaborado por: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jc w:val="left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240"/>
        <w:jc w:val="left"/>
        <w:rPr>
          <w:sz w:val="24"/>
          <w:szCs w:val="24"/>
        </w:rPr>
      </w:pPr>
      <w:r>
        <w:rPr>
          <w:rFonts w:cs="Arial" w:ascii="Arial" w:hAnsi="Arial"/>
          <w:sz w:val="24"/>
          <w:szCs w:val="24"/>
        </w:rPr>
        <w:t>RUTH BARBARA DA SILWA NASCIMENTO</w:t>
      </w:r>
    </w:p>
    <w:p>
      <w:pPr>
        <w:pStyle w:val="Normal"/>
        <w:spacing w:lineRule="auto" w:line="240"/>
        <w:jc w:val="left"/>
        <w:rPr>
          <w:sz w:val="24"/>
          <w:szCs w:val="24"/>
        </w:rPr>
      </w:pPr>
      <w:r>
        <w:rPr>
          <w:rFonts w:cs="Arial" w:ascii="Arial" w:hAnsi="Arial"/>
          <w:sz w:val="24"/>
          <w:szCs w:val="24"/>
        </w:rPr>
        <w:t>Assistente Administrativo</w:t>
      </w:r>
    </w:p>
    <w:p>
      <w:pPr>
        <w:pStyle w:val="Normal"/>
        <w:spacing w:lineRule="auto" w:line="240"/>
        <w:jc w:val="left"/>
        <w:rPr/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</w:rPr>
        <w:t xml:space="preserve"> </w:t>
      </w:r>
      <w:hyperlink r:id="rId4">
        <w:bookmarkStart w:id="0" w:name="_GoBack3111"/>
        <w:bookmarkStart w:id="1" w:name="_GoBack31"/>
        <w:r>
          <w:rPr>
            <w:rStyle w:val="ListLabel30"/>
            <w:rFonts w:cs="Arial" w:ascii="Arial" w:hAnsi="Arial"/>
            <w:b w:val="false"/>
            <w:bCs w:val="false"/>
            <w:color w:val="000000"/>
            <w:sz w:val="24"/>
            <w:szCs w:val="24"/>
          </w:rPr>
          <w:t>Mat. nº 002983</w:t>
        </w:r>
      </w:hyperlink>
      <w:bookmarkStart w:id="2" w:name="_GoBack2"/>
      <w:bookmarkStart w:id="3" w:name="_GoBack32"/>
      <w:bookmarkStart w:id="4" w:name="_GoBack12"/>
      <w:bookmarkStart w:id="5" w:name="_GoBack21"/>
      <w:bookmarkStart w:id="6" w:name="_GoBack321"/>
      <w:bookmarkStart w:id="7" w:name="_GoBack121"/>
    </w:p>
    <w:p>
      <w:pPr>
        <w:pStyle w:val="Normal"/>
        <w:jc w:val="left"/>
        <w:rPr>
          <w:rFonts w:ascii="Arial" w:hAnsi="Arial" w:cs="Arial"/>
          <w:b/>
          <w:sz w:val="24"/>
          <w:szCs w:val="24"/>
          <w:u w:val="single"/>
        </w:rPr>
      </w:pPr>
      <w:r>
        <w:rPr>
          <w:rFonts w:cs="Arial" w:ascii="Arial" w:hAnsi="Arial"/>
          <w:b/>
          <w:sz w:val="24"/>
          <w:szCs w:val="24"/>
          <w:u w:val="single"/>
        </w:rPr>
      </w:r>
      <w:bookmarkStart w:id="8" w:name="art122%252525252525252525252525252525252"/>
      <w:bookmarkStart w:id="9" w:name="art122%25252525252525252525252525252525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9"/>
    </w:p>
    <w:sectPr>
      <w:headerReference w:type="default" r:id="rId5"/>
      <w:footerReference w:type="default" r:id="rId6"/>
      <w:type w:val="nextPage"/>
      <w:pgSz w:w="11906" w:h="16838"/>
      <w:pgMar w:left="1517" w:right="905" w:gutter="0" w:header="227" w:top="851" w:footer="567" w:bottom="851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Arial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10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75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pPr>
      <w:keepNext w:val="true"/>
      <w:keepLines/>
      <w:spacing w:before="480" w:after="0"/>
      <w:outlineLvl w:val="0"/>
    </w:pPr>
    <w:rPr>
      <w:rFonts w:ascii="Cambria" w:hAnsi="Cambria" w:eastAsia="Calibri" w:cs="Tahoma"/>
      <w:b/>
      <w:bCs/>
      <w:color w:themeColor="accent1" w:themeShade="bf" w:val="365F91"/>
      <w:sz w:val="28"/>
      <w:szCs w:val="28"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qFormat/>
    <w:rPr/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styleId="CorpodetextoChar">
    <w:name w:val="Corpo de text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>
    <w:name w:val="Citação Char"/>
    <w:basedOn w:val="DefaultParagraphFont"/>
    <w:qFormat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>
    <w:name w:val="Nivel1 Char"/>
    <w:basedOn w:val="DefaultParagraphFont"/>
    <w:link w:val="Nivel1"/>
    <w:qFormat/>
    <w:rPr>
      <w:rFonts w:ascii="Arial" w:hAnsi="Arial" w:eastAsia="Calibri" w:cs="Arial"/>
      <w:b/>
      <w:color w:val="000000"/>
      <w:sz w:val="32"/>
      <w:szCs w:val="32"/>
    </w:rPr>
  </w:style>
  <w:style w:type="character" w:styleId="Nivel2Char">
    <w:name w:val="Nivel 2 Char"/>
    <w:basedOn w:val="DefaultParagraphFont"/>
    <w:link w:val="Nivel2"/>
    <w:qFormat/>
    <w:rPr>
      <w:rFonts w:ascii="Arial" w:hAnsi="Arial" w:cs="Arial"/>
      <w:color w:val="000000"/>
    </w:rPr>
  </w:style>
  <w:style w:type="character" w:styleId="Strong">
    <w:name w:val="Strong"/>
    <w:qFormat/>
    <w:rPr>
      <w:b/>
      <w:bCs/>
    </w:rPr>
  </w:style>
  <w:style w:type="character" w:styleId="Ttulo1Char">
    <w:name w:val="Título 1 Char"/>
    <w:basedOn w:val="DefaultParagraphFont"/>
    <w:qFormat/>
    <w:rPr>
      <w:rFonts w:ascii="Cambria" w:hAnsi="Cambria" w:eastAsia="Calibri" w:cs="Tahoma"/>
      <w:b/>
      <w:bCs/>
      <w:color w:themeColor="accent1" w:themeShade="bf" w:val="365F91"/>
      <w:sz w:val="28"/>
      <w:szCs w:val="28"/>
      <w:lang w:eastAsia="pt-BR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FollowedHyperlink">
    <w:name w:val="FollowedHyperlink"/>
    <w:rPr>
      <w:color w:val="8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Footer">
    <w:name w:val="Footer"/>
    <w:basedOn w:val="Normal"/>
    <w:link w:val="Rodap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Tabelanormal1">
    <w:name w:val="Tabela normal1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>
    <w:name w:val="Nivel1"/>
    <w:basedOn w:val="Heading1"/>
    <w:next w:val="Normal"/>
    <w:link w:val="Nivel1Char"/>
    <w:qFormat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themeColor="accent1" w:themeShade="bf" w:val="000000"/>
      <w:sz w:val="32"/>
      <w:szCs w:val="32"/>
      <w:lang w:eastAsia="en-US"/>
    </w:rPr>
  </w:style>
  <w:style w:type="paragraph" w:styleId="Standard">
    <w:name w:val="Standard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>
    <w:name w:val="citação 2"/>
    <w:basedOn w:val="Quote"/>
    <w:qFormat/>
    <w:pPr>
      <w:suppressAutoHyphens w:val="true"/>
    </w:pPr>
    <w:rPr>
      <w:kern w:val="2"/>
      <w:szCs w:val="20"/>
      <w:lang w:eastAsia="zh-CN" w:bidi="hi-IN"/>
    </w:rPr>
  </w:style>
  <w:style w:type="paragraph" w:styleId="Nivel2">
    <w:name w:val="Nivel 2"/>
    <w:basedOn w:val="Normal"/>
    <w:link w:val="Nivel2Char"/>
    <w:qFormat/>
    <w:pPr>
      <w:suppressAutoHyphens w:val="false"/>
      <w:spacing w:lineRule="auto" w:line="276" w:before="120" w:after="120"/>
      <w:jc w:val="both"/>
    </w:pPr>
    <w:rPr>
      <w:rFonts w:ascii="Arial" w:hAnsi="Arial" w:eastAsia="Calibri" w:cs="Arial"/>
      <w:color w:val="000000"/>
      <w:sz w:val="22"/>
      <w:szCs w:val="22"/>
      <w:lang w:eastAsia="en-US"/>
    </w:rPr>
  </w:style>
  <w:style w:type="paragraph" w:styleId="Nivel3">
    <w:name w:val="Nivel 3"/>
    <w:basedOn w:val="ListParagraph"/>
    <w:qFormat/>
    <w:pPr>
      <w:tabs>
        <w:tab w:val="clear" w:pos="708"/>
        <w:tab w:val="left" w:pos="360" w:leader="none"/>
      </w:tabs>
      <w:suppressAutoHyphens w:val="false"/>
      <w:spacing w:lineRule="auto" w:line="276" w:before="120" w:after="120"/>
      <w:ind w:hanging="0" w:left="425"/>
      <w:contextualSpacing/>
      <w:jc w:val="both"/>
    </w:pPr>
    <w:rPr>
      <w:rFonts w:ascii="Arial" w:hAnsi="Arial" w:cs="Arial"/>
      <w:sz w:val="20"/>
    </w:rPr>
  </w:style>
  <w:style w:type="paragraph" w:styleId="TableParagraph">
    <w:name w:val="Table Paragraph"/>
    <w:basedOn w:val="Normal"/>
    <w:qFormat/>
    <w:pPr>
      <w:widowControl w:val="false"/>
      <w:suppressAutoHyphens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PADRO">
    <w:name w:val="PADRÃO"/>
    <w:qFormat/>
    <w:pPr>
      <w:keepNext w:val="true"/>
      <w:widowControl w:val="false"/>
      <w:shd w:val="clear" w:fill="FFFFFF"/>
      <w:suppressAutoHyphens w:val="true"/>
      <w:overflowPunct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Contedodatabela">
    <w:name w:val="Conteúdo da tabela"/>
    <w:basedOn w:val="Normal"/>
    <w:qFormat/>
    <w:pPr/>
    <w:rPr/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/>
      <w:contextualSpacing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Nivel01">
    <w:name w:val="Nivel 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themeColor="accent1" w:themeShade="bf" w:val="000000"/>
      <w:sz w:val="20"/>
      <w:szCs w:val="20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assistenciasgp@gmail.com" TargetMode="External"/><Relationship Id="rId3" Type="http://schemas.openxmlformats.org/officeDocument/2006/relationships/hyperlink" Target="https://www.planalto.gov.br/ccivil_03/leis/lcp/lcp123.htm" TargetMode="External"/><Relationship Id="rId4" Type="http://schemas.openxmlformats.org/officeDocument/2006/relationships/hyperlink" Target="https://www.planalto.gov.br/ccivil_03/leis/lcp/lcp123.htm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Application>LibreOffice/7.6.7.2$Windows_X86_64 LibreOffice_project/dd47e4b30cb7dab30588d6c79c651f218165e3c5</Application>
  <AppVersion>15.0000</AppVersion>
  <Pages>9</Pages>
  <Words>2581</Words>
  <Characters>14334</Characters>
  <CharactersWithSpaces>16884</CharactersWithSpaces>
  <Paragraphs>161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Barbara da Silwa Nascimento</dc:creator>
  <dc:description/>
  <dc:language>pt-BR</dc:language>
  <cp:lastModifiedBy/>
  <cp:lastPrinted>2024-11-06T17:12:32Z</cp:lastPrinted>
  <dcterms:modified xsi:type="dcterms:W3CDTF">2025-03-19T15:10:31Z</dcterms:modified>
  <cp:revision>131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